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00" w:lineRule="exact"/>
        <w:jc w:val="center"/>
        <w:rPr>
          <w:rFonts w:ascii="宋体"/>
          <w:b/>
          <w:bCs/>
          <w:sz w:val="44"/>
          <w:szCs w:val="44"/>
        </w:rPr>
      </w:pPr>
    </w:p>
    <w:p>
      <w:pPr>
        <w:spacing w:line="600" w:lineRule="exact"/>
        <w:jc w:val="center"/>
        <w:rPr>
          <w:rFonts w:ascii="宋体"/>
          <w:b/>
          <w:bCs/>
          <w:sz w:val="44"/>
          <w:szCs w:val="44"/>
        </w:rPr>
      </w:pPr>
    </w:p>
    <w:p>
      <w:pPr>
        <w:spacing w:line="600" w:lineRule="exact"/>
        <w:jc w:val="center"/>
        <w:rPr>
          <w:rFonts w:ascii="宋体"/>
          <w:b/>
          <w:bCs/>
          <w:sz w:val="44"/>
          <w:szCs w:val="44"/>
        </w:rPr>
      </w:pPr>
    </w:p>
    <w:p>
      <w:pPr>
        <w:spacing w:line="600" w:lineRule="exact"/>
        <w:jc w:val="center"/>
        <w:rPr>
          <w:rFonts w:ascii="宋体"/>
          <w:b/>
          <w:bCs/>
          <w:sz w:val="44"/>
          <w:szCs w:val="44"/>
        </w:rPr>
      </w:pPr>
    </w:p>
    <w:p>
      <w:pPr>
        <w:spacing w:line="600" w:lineRule="exact"/>
        <w:jc w:val="center"/>
        <w:rPr>
          <w:rFonts w:ascii="宋体"/>
          <w:b/>
          <w:bCs/>
          <w:sz w:val="58"/>
          <w:szCs w:val="58"/>
        </w:rPr>
      </w:pPr>
      <w:r>
        <w:rPr>
          <w:rFonts w:hint="eastAsia" w:ascii="宋体" w:hAnsi="宋体" w:cs="宋体"/>
          <w:b/>
          <w:bCs/>
          <w:sz w:val="58"/>
          <w:szCs w:val="58"/>
        </w:rPr>
        <w:t>甘肃警察职业学院</w:t>
      </w:r>
    </w:p>
    <w:p>
      <w:pPr>
        <w:spacing w:line="600" w:lineRule="exact"/>
        <w:jc w:val="center"/>
        <w:rPr>
          <w:rFonts w:ascii="宋体"/>
          <w:b/>
          <w:bCs/>
          <w:sz w:val="58"/>
          <w:szCs w:val="58"/>
        </w:rPr>
      </w:pPr>
      <w:r>
        <w:rPr>
          <w:rFonts w:hint="eastAsia" w:ascii="宋体" w:hAnsi="宋体" w:cs="宋体"/>
          <w:b/>
          <w:bCs/>
          <w:sz w:val="58"/>
          <w:szCs w:val="58"/>
        </w:rPr>
        <w:t>信息化运维服务外包项目</w:t>
      </w:r>
    </w:p>
    <w:p>
      <w:pPr>
        <w:spacing w:line="360" w:lineRule="auto"/>
        <w:jc w:val="center"/>
        <w:rPr>
          <w:rFonts w:ascii="宋体"/>
          <w:b/>
          <w:bCs/>
          <w:sz w:val="44"/>
          <w:szCs w:val="44"/>
        </w:rPr>
      </w:pPr>
    </w:p>
    <w:p>
      <w:pPr>
        <w:spacing w:line="360" w:lineRule="auto"/>
        <w:jc w:val="center"/>
        <w:rPr>
          <w:rFonts w:ascii="宋体"/>
          <w:b/>
          <w:bCs/>
          <w:sz w:val="44"/>
          <w:szCs w:val="44"/>
        </w:rPr>
      </w:pPr>
    </w:p>
    <w:p>
      <w:pPr>
        <w:spacing w:line="360" w:lineRule="auto"/>
        <w:jc w:val="center"/>
        <w:rPr>
          <w:rFonts w:ascii="宋体"/>
          <w:b/>
          <w:bCs/>
          <w:sz w:val="44"/>
          <w:szCs w:val="44"/>
        </w:rPr>
      </w:pPr>
    </w:p>
    <w:p>
      <w:pPr>
        <w:spacing w:line="360" w:lineRule="auto"/>
        <w:jc w:val="center"/>
        <w:rPr>
          <w:rFonts w:ascii="华文中宋" w:hAnsi="华文中宋" w:eastAsia="华文中宋"/>
          <w:shadow/>
          <w:sz w:val="130"/>
          <w:szCs w:val="130"/>
        </w:rPr>
      </w:pPr>
      <w:r>
        <w:rPr>
          <w:rFonts w:hint="eastAsia" w:ascii="华文中宋" w:hAnsi="华文中宋" w:eastAsia="华文中宋" w:cs="华文中宋"/>
          <w:b/>
          <w:bCs/>
          <w:sz w:val="130"/>
          <w:szCs w:val="130"/>
        </w:rPr>
        <w:t>招标文件</w:t>
      </w:r>
    </w:p>
    <w:p>
      <w:pPr>
        <w:jc w:val="center"/>
        <w:rPr>
          <w:b/>
          <w:bCs/>
          <w:sz w:val="30"/>
          <w:szCs w:val="30"/>
        </w:rPr>
      </w:pPr>
      <w:r>
        <w:rPr>
          <w:rFonts w:hint="eastAsia" w:cs="宋体"/>
          <w:b/>
          <w:bCs/>
          <w:sz w:val="30"/>
          <w:szCs w:val="30"/>
        </w:rPr>
        <w:t>项目编号：【</w:t>
      </w:r>
      <w:r>
        <w:rPr>
          <w:b/>
          <w:bCs/>
          <w:sz w:val="30"/>
          <w:szCs w:val="30"/>
        </w:rPr>
        <w:t xml:space="preserve"> </w:t>
      </w:r>
      <w:r>
        <w:rPr>
          <w:rFonts w:hint="eastAsia" w:cs="宋体"/>
          <w:b/>
          <w:bCs/>
          <w:sz w:val="30"/>
          <w:szCs w:val="30"/>
        </w:rPr>
        <w:t>】</w:t>
      </w:r>
    </w:p>
    <w:p>
      <w:pPr>
        <w:spacing w:before="240" w:line="360" w:lineRule="auto"/>
        <w:rPr>
          <w:rFonts w:ascii="宋体"/>
        </w:rPr>
      </w:pPr>
    </w:p>
    <w:p>
      <w:pPr>
        <w:spacing w:before="240" w:line="360" w:lineRule="auto"/>
        <w:rPr>
          <w:rFonts w:ascii="宋体"/>
        </w:rPr>
      </w:pPr>
    </w:p>
    <w:p>
      <w:pPr>
        <w:spacing w:before="240" w:line="360" w:lineRule="auto"/>
        <w:rPr>
          <w:rFonts w:ascii="宋体"/>
        </w:rPr>
      </w:pPr>
    </w:p>
    <w:p>
      <w:pPr>
        <w:spacing w:before="240" w:line="360" w:lineRule="auto"/>
        <w:rPr>
          <w:rFonts w:ascii="宋体"/>
          <w:shadow/>
        </w:rPr>
      </w:pPr>
    </w:p>
    <w:p>
      <w:pPr>
        <w:spacing w:before="240" w:line="360" w:lineRule="auto"/>
        <w:rPr>
          <w:rFonts w:ascii="宋体"/>
          <w:shadow/>
        </w:rPr>
      </w:pPr>
    </w:p>
    <w:p>
      <w:pPr>
        <w:spacing w:line="360" w:lineRule="auto"/>
        <w:jc w:val="center"/>
        <w:rPr>
          <w:rFonts w:ascii="宋体"/>
          <w:b/>
          <w:bCs/>
          <w:sz w:val="46"/>
          <w:szCs w:val="46"/>
        </w:rPr>
      </w:pPr>
      <w:r>
        <w:rPr>
          <w:rFonts w:hint="eastAsia" w:ascii="宋体" w:hAnsi="宋体" w:cs="宋体"/>
          <w:b/>
          <w:bCs/>
          <w:sz w:val="46"/>
          <w:szCs w:val="46"/>
        </w:rPr>
        <w:t>采购人：甘肃警察职业学院</w:t>
      </w:r>
    </w:p>
    <w:p>
      <w:pPr>
        <w:spacing w:line="360" w:lineRule="auto"/>
        <w:jc w:val="center"/>
        <w:rPr>
          <w:rFonts w:ascii="宋体"/>
          <w:b/>
          <w:bCs/>
          <w:sz w:val="46"/>
          <w:szCs w:val="46"/>
        </w:rPr>
      </w:pPr>
      <w:r>
        <w:rPr>
          <w:rFonts w:hint="eastAsia" w:ascii="宋体" w:hAnsi="宋体" w:cs="宋体"/>
          <w:b/>
          <w:bCs/>
          <w:sz w:val="46"/>
          <w:szCs w:val="46"/>
        </w:rPr>
        <w:t>二零一九年四月</w:t>
      </w:r>
    </w:p>
    <w:p>
      <w:pPr>
        <w:spacing w:line="360" w:lineRule="auto"/>
        <w:jc w:val="center"/>
        <w:rPr>
          <w:rFonts w:ascii="宋体"/>
          <w:shadow/>
        </w:rPr>
        <w:sectPr>
          <w:headerReference r:id="rId3" w:type="default"/>
          <w:footerReference r:id="rId4" w:type="default"/>
          <w:type w:val="continuous"/>
          <w:pgSz w:w="11907" w:h="16840"/>
          <w:pgMar w:top="1418" w:right="1418" w:bottom="1418" w:left="1588" w:header="851" w:footer="851" w:gutter="0"/>
          <w:pgNumType w:start="1"/>
          <w:cols w:space="720" w:num="1"/>
          <w:docGrid w:type="lines" w:linePitch="326" w:charSpace="0"/>
        </w:sectPr>
      </w:pPr>
    </w:p>
    <w:p>
      <w:pPr>
        <w:rPr>
          <w:rFonts w:ascii="宋体"/>
          <w:sz w:val="30"/>
          <w:szCs w:val="30"/>
        </w:rPr>
      </w:pPr>
    </w:p>
    <w:p>
      <w:pPr>
        <w:pStyle w:val="76"/>
        <w:spacing w:before="0"/>
        <w:jc w:val="center"/>
        <w:rPr>
          <w:rFonts w:cs="Times New Roman"/>
          <w:color w:val="auto"/>
        </w:rPr>
      </w:pPr>
      <w:r>
        <w:rPr>
          <w:rFonts w:hint="eastAsia" w:cs="宋体"/>
          <w:color w:val="auto"/>
          <w:lang w:val="zh-CN"/>
        </w:rPr>
        <w:t>目录</w:t>
      </w:r>
    </w:p>
    <w:p>
      <w:pPr>
        <w:pStyle w:val="24"/>
        <w:tabs>
          <w:tab w:val="right" w:leader="dot" w:pos="8890"/>
        </w:tabs>
        <w:rPr>
          <w:rFonts w:ascii="Calibri" w:hAnsi="Calibri" w:cs="Calibri"/>
          <w:kern w:val="2"/>
          <w:sz w:val="21"/>
          <w:szCs w:val="21"/>
        </w:rPr>
      </w:pPr>
      <w:r>
        <w:rPr>
          <w:rStyle w:val="33"/>
          <w:color w:val="auto"/>
        </w:rPr>
        <w:fldChar w:fldCharType="begin"/>
      </w:r>
      <w:r>
        <w:rPr>
          <w:rStyle w:val="33"/>
          <w:color w:val="auto"/>
        </w:rPr>
        <w:instrText xml:space="preserve"> TOC \o "1-3" \h \z \u </w:instrText>
      </w:r>
      <w:r>
        <w:rPr>
          <w:rStyle w:val="33"/>
          <w:color w:val="auto"/>
        </w:rPr>
        <w:fldChar w:fldCharType="separate"/>
      </w:r>
      <w:r>
        <w:fldChar w:fldCharType="begin"/>
      </w:r>
      <w:r>
        <w:instrText xml:space="preserve"> HYPERLINK \l "_Toc1429133" </w:instrText>
      </w:r>
      <w:r>
        <w:fldChar w:fldCharType="separate"/>
      </w:r>
      <w:r>
        <w:rPr>
          <w:rStyle w:val="33"/>
          <w:rFonts w:hint="eastAsia"/>
        </w:rPr>
        <w:t>第一部分投标邀请</w:t>
      </w:r>
      <w:r>
        <w:rPr>
          <w:rFonts w:cs="Times New Roman"/>
        </w:rPr>
        <w:tab/>
      </w:r>
      <w:r>
        <w:fldChar w:fldCharType="begin"/>
      </w:r>
      <w:r>
        <w:instrText xml:space="preserve"> PAGEREF _Toc1429133 \h </w:instrText>
      </w:r>
      <w:r>
        <w:fldChar w:fldCharType="separate"/>
      </w:r>
      <w:r>
        <w:t>3</w:t>
      </w:r>
      <w:r>
        <w:fldChar w:fldCharType="end"/>
      </w:r>
      <w:r>
        <w:fldChar w:fldCharType="end"/>
      </w:r>
    </w:p>
    <w:p>
      <w:pPr>
        <w:pStyle w:val="24"/>
        <w:tabs>
          <w:tab w:val="right" w:leader="dot" w:pos="8890"/>
        </w:tabs>
        <w:rPr>
          <w:rFonts w:ascii="Calibri" w:hAnsi="Calibri" w:cs="Calibri"/>
          <w:kern w:val="2"/>
          <w:sz w:val="21"/>
          <w:szCs w:val="21"/>
        </w:rPr>
      </w:pPr>
      <w:r>
        <w:fldChar w:fldCharType="begin"/>
      </w:r>
      <w:r>
        <w:instrText xml:space="preserve"> HYPERLINK \l "_Toc1429134" </w:instrText>
      </w:r>
      <w:r>
        <w:fldChar w:fldCharType="separate"/>
      </w:r>
      <w:r>
        <w:rPr>
          <w:rStyle w:val="33"/>
          <w:rFonts w:hint="eastAsia"/>
        </w:rPr>
        <w:t>第二部分投标人须知前附表</w:t>
      </w:r>
      <w:r>
        <w:rPr>
          <w:rFonts w:cs="Times New Roman"/>
        </w:rPr>
        <w:tab/>
      </w:r>
      <w:r>
        <w:fldChar w:fldCharType="begin"/>
      </w:r>
      <w:r>
        <w:instrText xml:space="preserve"> PAGEREF _Toc1429134 \h </w:instrText>
      </w:r>
      <w:r>
        <w:fldChar w:fldCharType="separate"/>
      </w:r>
      <w:r>
        <w:t>5</w:t>
      </w:r>
      <w:r>
        <w:fldChar w:fldCharType="end"/>
      </w:r>
      <w:r>
        <w:fldChar w:fldCharType="end"/>
      </w:r>
    </w:p>
    <w:p>
      <w:pPr>
        <w:pStyle w:val="24"/>
        <w:tabs>
          <w:tab w:val="right" w:leader="dot" w:pos="8890"/>
        </w:tabs>
        <w:rPr>
          <w:rFonts w:ascii="Calibri" w:hAnsi="Calibri" w:cs="Calibri"/>
          <w:kern w:val="2"/>
          <w:sz w:val="21"/>
          <w:szCs w:val="21"/>
        </w:rPr>
      </w:pPr>
      <w:r>
        <w:fldChar w:fldCharType="begin"/>
      </w:r>
      <w:r>
        <w:instrText xml:space="preserve"> HYPERLINK \l "_Toc1429135" </w:instrText>
      </w:r>
      <w:r>
        <w:fldChar w:fldCharType="separate"/>
      </w:r>
      <w:r>
        <w:rPr>
          <w:rStyle w:val="33"/>
          <w:rFonts w:hint="eastAsia"/>
        </w:rPr>
        <w:t>第三部分投标人须知</w:t>
      </w:r>
      <w:r>
        <w:rPr>
          <w:rFonts w:cs="Times New Roman"/>
        </w:rPr>
        <w:tab/>
      </w:r>
      <w:r>
        <w:fldChar w:fldCharType="begin"/>
      </w:r>
      <w:r>
        <w:instrText xml:space="preserve"> PAGEREF _Toc1429135 \h </w:instrText>
      </w:r>
      <w:r>
        <w:fldChar w:fldCharType="separate"/>
      </w:r>
      <w:r>
        <w:t>7</w:t>
      </w:r>
      <w:r>
        <w:fldChar w:fldCharType="end"/>
      </w:r>
      <w:r>
        <w:fldChar w:fldCharType="end"/>
      </w:r>
    </w:p>
    <w:p>
      <w:pPr>
        <w:pStyle w:val="28"/>
        <w:rPr>
          <w:rFonts w:ascii="Calibri" w:hAnsi="Calibri" w:cs="Calibri"/>
          <w:kern w:val="2"/>
          <w:sz w:val="21"/>
          <w:szCs w:val="21"/>
        </w:rPr>
      </w:pPr>
      <w:r>
        <w:fldChar w:fldCharType="begin"/>
      </w:r>
      <w:r>
        <w:instrText xml:space="preserve"> HYPERLINK \l "_Toc1429136" </w:instrText>
      </w:r>
      <w:r>
        <w:fldChar w:fldCharType="separate"/>
      </w:r>
      <w:r>
        <w:rPr>
          <w:rStyle w:val="33"/>
          <w:rFonts w:hint="eastAsia" w:ascii="宋体" w:hAnsi="宋体" w:cs="宋体"/>
        </w:rPr>
        <w:t>一、总则</w:t>
      </w:r>
      <w:r>
        <w:tab/>
      </w:r>
      <w:r>
        <w:fldChar w:fldCharType="begin"/>
      </w:r>
      <w:r>
        <w:instrText xml:space="preserve"> PAGEREF _Toc1429136 \h </w:instrText>
      </w:r>
      <w:r>
        <w:fldChar w:fldCharType="separate"/>
      </w:r>
      <w:r>
        <w:t>7</w:t>
      </w:r>
      <w:r>
        <w:fldChar w:fldCharType="end"/>
      </w:r>
      <w:r>
        <w:fldChar w:fldCharType="end"/>
      </w:r>
    </w:p>
    <w:p>
      <w:pPr>
        <w:pStyle w:val="28"/>
        <w:rPr>
          <w:rFonts w:ascii="Calibri" w:hAnsi="Calibri" w:cs="Calibri"/>
          <w:kern w:val="2"/>
          <w:sz w:val="21"/>
          <w:szCs w:val="21"/>
        </w:rPr>
      </w:pPr>
      <w:r>
        <w:fldChar w:fldCharType="begin"/>
      </w:r>
      <w:r>
        <w:instrText xml:space="preserve"> HYPERLINK \l "_Toc1429137" </w:instrText>
      </w:r>
      <w:r>
        <w:fldChar w:fldCharType="separate"/>
      </w:r>
      <w:r>
        <w:rPr>
          <w:rStyle w:val="33"/>
          <w:rFonts w:hint="eastAsia" w:ascii="宋体" w:hAnsi="宋体" w:cs="宋体"/>
        </w:rPr>
        <w:t>二、招标文件</w:t>
      </w:r>
      <w:r>
        <w:tab/>
      </w:r>
      <w:r>
        <w:fldChar w:fldCharType="begin"/>
      </w:r>
      <w:r>
        <w:instrText xml:space="preserve"> PAGEREF _Toc1429137 \h </w:instrText>
      </w:r>
      <w:r>
        <w:fldChar w:fldCharType="separate"/>
      </w:r>
      <w:r>
        <w:t>8</w:t>
      </w:r>
      <w:r>
        <w:fldChar w:fldCharType="end"/>
      </w:r>
      <w:r>
        <w:fldChar w:fldCharType="end"/>
      </w:r>
    </w:p>
    <w:p>
      <w:pPr>
        <w:pStyle w:val="28"/>
        <w:rPr>
          <w:rFonts w:ascii="Calibri" w:hAnsi="Calibri" w:cs="Calibri"/>
          <w:kern w:val="2"/>
          <w:sz w:val="21"/>
          <w:szCs w:val="21"/>
        </w:rPr>
      </w:pPr>
      <w:r>
        <w:fldChar w:fldCharType="begin"/>
      </w:r>
      <w:r>
        <w:instrText xml:space="preserve"> HYPERLINK \l "_Toc1429138" </w:instrText>
      </w:r>
      <w:r>
        <w:fldChar w:fldCharType="separate"/>
      </w:r>
      <w:r>
        <w:rPr>
          <w:rStyle w:val="33"/>
          <w:rFonts w:hint="eastAsia" w:ascii="宋体" w:hAnsi="宋体" w:cs="宋体"/>
        </w:rPr>
        <w:t>三、投标文件</w:t>
      </w:r>
      <w:r>
        <w:tab/>
      </w:r>
      <w:r>
        <w:fldChar w:fldCharType="begin"/>
      </w:r>
      <w:r>
        <w:instrText xml:space="preserve"> PAGEREF _Toc1429138 \h </w:instrText>
      </w:r>
      <w:r>
        <w:fldChar w:fldCharType="separate"/>
      </w:r>
      <w:r>
        <w:t>9</w:t>
      </w:r>
      <w:r>
        <w:fldChar w:fldCharType="end"/>
      </w:r>
      <w:r>
        <w:fldChar w:fldCharType="end"/>
      </w:r>
    </w:p>
    <w:p>
      <w:pPr>
        <w:pStyle w:val="28"/>
        <w:rPr>
          <w:rFonts w:ascii="Calibri" w:hAnsi="Calibri" w:cs="Calibri"/>
          <w:kern w:val="2"/>
          <w:sz w:val="21"/>
          <w:szCs w:val="21"/>
        </w:rPr>
      </w:pPr>
      <w:r>
        <w:fldChar w:fldCharType="begin"/>
      </w:r>
      <w:r>
        <w:instrText xml:space="preserve"> HYPERLINK \l "_Toc1429139" </w:instrText>
      </w:r>
      <w:r>
        <w:fldChar w:fldCharType="separate"/>
      </w:r>
      <w:r>
        <w:rPr>
          <w:rStyle w:val="33"/>
          <w:rFonts w:hint="eastAsia" w:ascii="宋体" w:hAnsi="宋体" w:cs="宋体"/>
        </w:rPr>
        <w:t>四、文件的递交</w:t>
      </w:r>
      <w:r>
        <w:tab/>
      </w:r>
      <w:r>
        <w:fldChar w:fldCharType="begin"/>
      </w:r>
      <w:r>
        <w:instrText xml:space="preserve"> PAGEREF _Toc1429139 \h </w:instrText>
      </w:r>
      <w:r>
        <w:fldChar w:fldCharType="separate"/>
      </w:r>
      <w:r>
        <w:t>12</w:t>
      </w:r>
      <w:r>
        <w:fldChar w:fldCharType="end"/>
      </w:r>
      <w:r>
        <w:fldChar w:fldCharType="end"/>
      </w:r>
    </w:p>
    <w:p>
      <w:pPr>
        <w:pStyle w:val="28"/>
        <w:rPr>
          <w:rFonts w:ascii="Calibri" w:hAnsi="Calibri" w:cs="Calibri"/>
          <w:kern w:val="2"/>
          <w:sz w:val="21"/>
          <w:szCs w:val="21"/>
        </w:rPr>
      </w:pPr>
      <w:r>
        <w:fldChar w:fldCharType="begin"/>
      </w:r>
      <w:r>
        <w:instrText xml:space="preserve"> HYPERLINK \l "_Toc1429140" </w:instrText>
      </w:r>
      <w:r>
        <w:fldChar w:fldCharType="separate"/>
      </w:r>
      <w:r>
        <w:rPr>
          <w:rStyle w:val="33"/>
          <w:rFonts w:hint="eastAsia" w:ascii="宋体" w:hAnsi="宋体" w:cs="宋体"/>
        </w:rPr>
        <w:t>五、开标</w:t>
      </w:r>
      <w:r>
        <w:tab/>
      </w:r>
      <w:r>
        <w:fldChar w:fldCharType="begin"/>
      </w:r>
      <w:r>
        <w:instrText xml:space="preserve"> PAGEREF _Toc1429140 \h </w:instrText>
      </w:r>
      <w:r>
        <w:fldChar w:fldCharType="separate"/>
      </w:r>
      <w:r>
        <w:t>13</w:t>
      </w:r>
      <w:r>
        <w:fldChar w:fldCharType="end"/>
      </w:r>
      <w:r>
        <w:fldChar w:fldCharType="end"/>
      </w:r>
    </w:p>
    <w:p>
      <w:pPr>
        <w:pStyle w:val="28"/>
        <w:rPr>
          <w:rFonts w:ascii="Calibri" w:hAnsi="Calibri" w:cs="Calibri"/>
          <w:kern w:val="2"/>
          <w:sz w:val="21"/>
          <w:szCs w:val="21"/>
        </w:rPr>
      </w:pPr>
      <w:r>
        <w:fldChar w:fldCharType="begin"/>
      </w:r>
      <w:r>
        <w:instrText xml:space="preserve"> HYPERLINK \l "_Toc1429141" </w:instrText>
      </w:r>
      <w:r>
        <w:fldChar w:fldCharType="separate"/>
      </w:r>
      <w:r>
        <w:rPr>
          <w:rStyle w:val="33"/>
          <w:rFonts w:hint="eastAsia" w:ascii="宋体" w:hAnsi="宋体" w:cs="宋体"/>
        </w:rPr>
        <w:t>六、评标步骤和要求</w:t>
      </w:r>
      <w:r>
        <w:tab/>
      </w:r>
      <w:r>
        <w:fldChar w:fldCharType="begin"/>
      </w:r>
      <w:r>
        <w:instrText xml:space="preserve"> PAGEREF _Toc1429141 \h </w:instrText>
      </w:r>
      <w:r>
        <w:fldChar w:fldCharType="separate"/>
      </w:r>
      <w:r>
        <w:t>13</w:t>
      </w:r>
      <w:r>
        <w:fldChar w:fldCharType="end"/>
      </w:r>
      <w:r>
        <w:fldChar w:fldCharType="end"/>
      </w:r>
    </w:p>
    <w:p>
      <w:pPr>
        <w:pStyle w:val="28"/>
        <w:rPr>
          <w:rFonts w:ascii="Calibri" w:hAnsi="Calibri" w:cs="Calibri"/>
          <w:kern w:val="2"/>
          <w:sz w:val="21"/>
          <w:szCs w:val="21"/>
        </w:rPr>
      </w:pPr>
      <w:r>
        <w:fldChar w:fldCharType="begin"/>
      </w:r>
      <w:r>
        <w:instrText xml:space="preserve"> HYPERLINK \l "_Toc1429142" </w:instrText>
      </w:r>
      <w:r>
        <w:fldChar w:fldCharType="separate"/>
      </w:r>
      <w:r>
        <w:rPr>
          <w:rStyle w:val="33"/>
          <w:rFonts w:hint="eastAsia" w:ascii="宋体" w:hAnsi="宋体" w:cs="宋体"/>
        </w:rPr>
        <w:t>七、签订合同</w:t>
      </w:r>
      <w:r>
        <w:tab/>
      </w:r>
      <w:r>
        <w:fldChar w:fldCharType="begin"/>
      </w:r>
      <w:r>
        <w:instrText xml:space="preserve"> PAGEREF _Toc1429142 \h </w:instrText>
      </w:r>
      <w:r>
        <w:fldChar w:fldCharType="separate"/>
      </w:r>
      <w:r>
        <w:t>16</w:t>
      </w:r>
      <w:r>
        <w:fldChar w:fldCharType="end"/>
      </w:r>
      <w:r>
        <w:fldChar w:fldCharType="end"/>
      </w:r>
    </w:p>
    <w:p>
      <w:pPr>
        <w:pStyle w:val="28"/>
        <w:rPr>
          <w:rFonts w:ascii="Calibri" w:hAnsi="Calibri" w:cs="Calibri"/>
          <w:kern w:val="2"/>
          <w:sz w:val="21"/>
          <w:szCs w:val="21"/>
        </w:rPr>
      </w:pPr>
      <w:r>
        <w:fldChar w:fldCharType="begin"/>
      </w:r>
      <w:r>
        <w:instrText xml:space="preserve"> HYPERLINK \l "_Toc1429143" </w:instrText>
      </w:r>
      <w:r>
        <w:fldChar w:fldCharType="separate"/>
      </w:r>
      <w:r>
        <w:rPr>
          <w:rStyle w:val="33"/>
          <w:rFonts w:hint="eastAsia" w:ascii="宋体" w:hAnsi="宋体" w:cs="宋体"/>
        </w:rPr>
        <w:t>八、处罚、询问和质疑</w:t>
      </w:r>
      <w:r>
        <w:tab/>
      </w:r>
      <w:r>
        <w:fldChar w:fldCharType="begin"/>
      </w:r>
      <w:r>
        <w:instrText xml:space="preserve"> PAGEREF _Toc1429143 \h </w:instrText>
      </w:r>
      <w:r>
        <w:fldChar w:fldCharType="separate"/>
      </w:r>
      <w:r>
        <w:t>17</w:t>
      </w:r>
      <w:r>
        <w:fldChar w:fldCharType="end"/>
      </w:r>
      <w:r>
        <w:fldChar w:fldCharType="end"/>
      </w:r>
    </w:p>
    <w:p>
      <w:pPr>
        <w:pStyle w:val="28"/>
        <w:rPr>
          <w:rFonts w:ascii="Calibri" w:hAnsi="Calibri" w:cs="Calibri"/>
          <w:kern w:val="2"/>
          <w:sz w:val="21"/>
          <w:szCs w:val="21"/>
        </w:rPr>
      </w:pPr>
      <w:r>
        <w:fldChar w:fldCharType="begin"/>
      </w:r>
      <w:r>
        <w:instrText xml:space="preserve"> HYPERLINK \l "_Toc1429144" </w:instrText>
      </w:r>
      <w:r>
        <w:fldChar w:fldCharType="separate"/>
      </w:r>
      <w:r>
        <w:rPr>
          <w:rStyle w:val="33"/>
          <w:rFonts w:hint="eastAsia" w:ascii="宋体" w:hAnsi="宋体" w:cs="宋体"/>
        </w:rPr>
        <w:t>九、保密和披露</w:t>
      </w:r>
      <w:r>
        <w:tab/>
      </w:r>
      <w:r>
        <w:fldChar w:fldCharType="begin"/>
      </w:r>
      <w:r>
        <w:instrText xml:space="preserve"> PAGEREF _Toc1429144 \h </w:instrText>
      </w:r>
      <w:r>
        <w:fldChar w:fldCharType="separate"/>
      </w:r>
      <w:r>
        <w:t>18</w:t>
      </w:r>
      <w:r>
        <w:fldChar w:fldCharType="end"/>
      </w:r>
      <w:r>
        <w:fldChar w:fldCharType="end"/>
      </w:r>
    </w:p>
    <w:p>
      <w:pPr>
        <w:pStyle w:val="28"/>
        <w:rPr>
          <w:rFonts w:ascii="Calibri" w:hAnsi="Calibri" w:cs="Calibri"/>
          <w:kern w:val="2"/>
          <w:sz w:val="21"/>
          <w:szCs w:val="21"/>
        </w:rPr>
      </w:pPr>
      <w:r>
        <w:fldChar w:fldCharType="begin"/>
      </w:r>
      <w:r>
        <w:instrText xml:space="preserve"> HYPERLINK \l "_Toc1429145" </w:instrText>
      </w:r>
      <w:r>
        <w:fldChar w:fldCharType="separate"/>
      </w:r>
      <w:r>
        <w:rPr>
          <w:rStyle w:val="33"/>
          <w:rFonts w:hint="eastAsia" w:ascii="宋体" w:hAnsi="宋体" w:cs="宋体"/>
        </w:rPr>
        <w:t>十、节能产品和环境认证产品</w:t>
      </w:r>
      <w:r>
        <w:tab/>
      </w:r>
      <w:r>
        <w:fldChar w:fldCharType="begin"/>
      </w:r>
      <w:r>
        <w:instrText xml:space="preserve"> PAGEREF _Toc1429145 \h </w:instrText>
      </w:r>
      <w:r>
        <w:fldChar w:fldCharType="separate"/>
      </w:r>
      <w:r>
        <w:t>18</w:t>
      </w:r>
      <w:r>
        <w:fldChar w:fldCharType="end"/>
      </w:r>
      <w:r>
        <w:fldChar w:fldCharType="end"/>
      </w:r>
    </w:p>
    <w:p>
      <w:pPr>
        <w:pStyle w:val="28"/>
        <w:rPr>
          <w:rFonts w:ascii="Calibri" w:hAnsi="Calibri" w:cs="Calibri"/>
          <w:kern w:val="2"/>
          <w:sz w:val="21"/>
          <w:szCs w:val="21"/>
        </w:rPr>
      </w:pPr>
      <w:r>
        <w:fldChar w:fldCharType="begin"/>
      </w:r>
      <w:r>
        <w:instrText xml:space="preserve"> HYPERLINK \l "_Toc1429146" </w:instrText>
      </w:r>
      <w:r>
        <w:fldChar w:fldCharType="separate"/>
      </w:r>
      <w:r>
        <w:rPr>
          <w:rStyle w:val="33"/>
          <w:rFonts w:hint="eastAsia" w:ascii="宋体" w:hAnsi="宋体" w:cs="宋体"/>
        </w:rPr>
        <w:t>十一、中小企业相关规定</w:t>
      </w:r>
      <w:r>
        <w:tab/>
      </w:r>
      <w:r>
        <w:fldChar w:fldCharType="end"/>
      </w:r>
    </w:p>
    <w:p>
      <w:pPr>
        <w:pStyle w:val="24"/>
        <w:tabs>
          <w:tab w:val="right" w:leader="dot" w:pos="8890"/>
        </w:tabs>
        <w:rPr>
          <w:rFonts w:ascii="Calibri" w:hAnsi="Calibri" w:cs="Calibri"/>
          <w:kern w:val="2"/>
          <w:sz w:val="21"/>
          <w:szCs w:val="21"/>
        </w:rPr>
      </w:pPr>
      <w:r>
        <w:fldChar w:fldCharType="begin"/>
      </w:r>
      <w:r>
        <w:instrText xml:space="preserve"> HYPERLINK \l "_Toc1429147" </w:instrText>
      </w:r>
      <w:r>
        <w:fldChar w:fldCharType="separate"/>
      </w:r>
      <w:r>
        <w:rPr>
          <w:rStyle w:val="33"/>
          <w:rFonts w:hint="eastAsia"/>
        </w:rPr>
        <w:t>第四部分评标细则和评分方法</w:t>
      </w:r>
      <w:r>
        <w:rPr>
          <w:rFonts w:cs="Times New Roman"/>
        </w:rPr>
        <w:tab/>
      </w:r>
      <w:r>
        <w:fldChar w:fldCharType="begin"/>
      </w:r>
      <w:r>
        <w:instrText xml:space="preserve"> PAGEREF _Toc1429147 \h </w:instrText>
      </w:r>
      <w:r>
        <w:fldChar w:fldCharType="separate"/>
      </w:r>
      <w:r>
        <w:t>20</w:t>
      </w:r>
      <w:r>
        <w:fldChar w:fldCharType="end"/>
      </w:r>
      <w:r>
        <w:fldChar w:fldCharType="end"/>
      </w:r>
    </w:p>
    <w:p>
      <w:pPr>
        <w:pStyle w:val="24"/>
        <w:tabs>
          <w:tab w:val="right" w:leader="dot" w:pos="8890"/>
        </w:tabs>
        <w:rPr>
          <w:rFonts w:ascii="Calibri" w:hAnsi="Calibri" w:cs="Calibri"/>
          <w:kern w:val="2"/>
          <w:sz w:val="21"/>
          <w:szCs w:val="21"/>
        </w:rPr>
      </w:pPr>
      <w:r>
        <w:fldChar w:fldCharType="begin"/>
      </w:r>
      <w:r>
        <w:instrText xml:space="preserve"> HYPERLINK \l "_Toc1429148" </w:instrText>
      </w:r>
      <w:r>
        <w:fldChar w:fldCharType="separate"/>
      </w:r>
      <w:r>
        <w:rPr>
          <w:rStyle w:val="33"/>
          <w:rFonts w:hint="eastAsia"/>
        </w:rPr>
        <w:t>第五部分中标合同</w:t>
      </w:r>
      <w:r>
        <w:rPr>
          <w:rFonts w:cs="Times New Roman"/>
        </w:rPr>
        <w:tab/>
      </w:r>
      <w:r>
        <w:fldChar w:fldCharType="begin"/>
      </w:r>
      <w:r>
        <w:instrText xml:space="preserve"> PAGEREF _Toc1429148 \h </w:instrText>
      </w:r>
      <w:r>
        <w:fldChar w:fldCharType="separate"/>
      </w:r>
      <w:r>
        <w:t>23</w:t>
      </w:r>
      <w:r>
        <w:fldChar w:fldCharType="end"/>
      </w:r>
      <w:r>
        <w:fldChar w:fldCharType="end"/>
      </w:r>
    </w:p>
    <w:p>
      <w:pPr>
        <w:pStyle w:val="24"/>
        <w:tabs>
          <w:tab w:val="right" w:leader="dot" w:pos="8890"/>
        </w:tabs>
        <w:rPr>
          <w:rFonts w:ascii="Calibri" w:hAnsi="Calibri" w:cs="Calibri"/>
          <w:kern w:val="2"/>
          <w:sz w:val="21"/>
          <w:szCs w:val="21"/>
        </w:rPr>
      </w:pPr>
      <w:r>
        <w:fldChar w:fldCharType="begin"/>
      </w:r>
      <w:r>
        <w:instrText xml:space="preserve"> HYPERLINK \l "_Toc1429149" </w:instrText>
      </w:r>
      <w:r>
        <w:fldChar w:fldCharType="separate"/>
      </w:r>
      <w:r>
        <w:rPr>
          <w:rStyle w:val="33"/>
          <w:rFonts w:hint="eastAsia"/>
        </w:rPr>
        <w:t>第六部分投标文件格式</w:t>
      </w:r>
      <w:r>
        <w:rPr>
          <w:rFonts w:cs="Times New Roman"/>
        </w:rPr>
        <w:tab/>
      </w:r>
      <w:r>
        <w:fldChar w:fldCharType="begin"/>
      </w:r>
      <w:r>
        <w:instrText xml:space="preserve"> PAGEREF _Toc1429149 \h </w:instrText>
      </w:r>
      <w:r>
        <w:fldChar w:fldCharType="separate"/>
      </w:r>
      <w:r>
        <w:t>33</w:t>
      </w:r>
      <w:r>
        <w:fldChar w:fldCharType="end"/>
      </w:r>
      <w:r>
        <w:fldChar w:fldCharType="end"/>
      </w:r>
    </w:p>
    <w:p>
      <w:pPr>
        <w:pStyle w:val="28"/>
        <w:rPr>
          <w:rFonts w:ascii="Calibri" w:hAnsi="Calibri" w:cs="Calibri"/>
          <w:kern w:val="2"/>
          <w:sz w:val="21"/>
          <w:szCs w:val="21"/>
        </w:rPr>
      </w:pPr>
      <w:r>
        <w:fldChar w:fldCharType="begin"/>
      </w:r>
      <w:r>
        <w:instrText xml:space="preserve"> HYPERLINK \l "_Toc1429150" </w:instrText>
      </w:r>
      <w:r>
        <w:fldChar w:fldCharType="separate"/>
      </w:r>
      <w:r>
        <w:rPr>
          <w:rStyle w:val="33"/>
          <w:rFonts w:hint="eastAsia" w:cs="宋体"/>
        </w:rPr>
        <w:t>一、投标人提交文件须知</w:t>
      </w:r>
      <w:r>
        <w:tab/>
      </w:r>
      <w:r>
        <w:fldChar w:fldCharType="begin"/>
      </w:r>
      <w:r>
        <w:instrText xml:space="preserve"> PAGEREF _Toc1429150 \h </w:instrText>
      </w:r>
      <w:r>
        <w:fldChar w:fldCharType="separate"/>
      </w:r>
      <w:r>
        <w:t>33</w:t>
      </w:r>
      <w:r>
        <w:fldChar w:fldCharType="end"/>
      </w:r>
      <w:r>
        <w:fldChar w:fldCharType="end"/>
      </w:r>
    </w:p>
    <w:p>
      <w:pPr>
        <w:pStyle w:val="28"/>
        <w:rPr>
          <w:rFonts w:ascii="Calibri" w:hAnsi="Calibri" w:cs="Calibri"/>
          <w:kern w:val="2"/>
          <w:sz w:val="21"/>
          <w:szCs w:val="21"/>
        </w:rPr>
      </w:pPr>
      <w:r>
        <w:fldChar w:fldCharType="begin"/>
      </w:r>
      <w:r>
        <w:instrText xml:space="preserve"> HYPERLINK \l "_Toc1429151" </w:instrText>
      </w:r>
      <w:r>
        <w:fldChar w:fldCharType="separate"/>
      </w:r>
      <w:r>
        <w:rPr>
          <w:rStyle w:val="33"/>
          <w:rFonts w:hint="eastAsia" w:cs="宋体"/>
        </w:rPr>
        <w:t>二、投标函</w:t>
      </w:r>
      <w:r>
        <w:tab/>
      </w:r>
      <w:r>
        <w:fldChar w:fldCharType="begin"/>
      </w:r>
      <w:r>
        <w:instrText xml:space="preserve"> PAGEREF _Toc1429151 \h </w:instrText>
      </w:r>
      <w:r>
        <w:fldChar w:fldCharType="separate"/>
      </w:r>
      <w:r>
        <w:t>34</w:t>
      </w:r>
      <w:r>
        <w:fldChar w:fldCharType="end"/>
      </w:r>
      <w:r>
        <w:fldChar w:fldCharType="end"/>
      </w:r>
    </w:p>
    <w:p>
      <w:pPr>
        <w:pStyle w:val="28"/>
        <w:rPr>
          <w:rFonts w:ascii="Calibri" w:hAnsi="Calibri" w:cs="Calibri"/>
          <w:kern w:val="2"/>
          <w:sz w:val="21"/>
          <w:szCs w:val="21"/>
        </w:rPr>
      </w:pPr>
      <w:r>
        <w:fldChar w:fldCharType="begin"/>
      </w:r>
      <w:r>
        <w:instrText xml:space="preserve"> HYPERLINK \l "_Toc1429152" </w:instrText>
      </w:r>
      <w:r>
        <w:fldChar w:fldCharType="separate"/>
      </w:r>
      <w:r>
        <w:rPr>
          <w:rStyle w:val="33"/>
          <w:rFonts w:hint="eastAsia" w:cs="宋体"/>
        </w:rPr>
        <w:t>三、法定代表人授权委托书</w:t>
      </w:r>
      <w:r>
        <w:tab/>
      </w:r>
      <w:r>
        <w:fldChar w:fldCharType="begin"/>
      </w:r>
      <w:r>
        <w:instrText xml:space="preserve"> PAGEREF _Toc1429152 \h </w:instrText>
      </w:r>
      <w:r>
        <w:fldChar w:fldCharType="separate"/>
      </w:r>
      <w:r>
        <w:t>36</w:t>
      </w:r>
      <w:r>
        <w:fldChar w:fldCharType="end"/>
      </w:r>
      <w:r>
        <w:fldChar w:fldCharType="end"/>
      </w:r>
    </w:p>
    <w:p>
      <w:pPr>
        <w:pStyle w:val="28"/>
        <w:rPr>
          <w:rFonts w:ascii="Calibri" w:hAnsi="Calibri" w:cs="Calibri"/>
          <w:kern w:val="2"/>
          <w:sz w:val="21"/>
          <w:szCs w:val="21"/>
        </w:rPr>
      </w:pPr>
      <w:r>
        <w:fldChar w:fldCharType="begin"/>
      </w:r>
      <w:r>
        <w:instrText xml:space="preserve"> HYPERLINK \l "_Toc1429153" </w:instrText>
      </w:r>
      <w:r>
        <w:fldChar w:fldCharType="separate"/>
      </w:r>
      <w:r>
        <w:rPr>
          <w:rStyle w:val="33"/>
          <w:rFonts w:hint="eastAsia" w:cs="宋体"/>
        </w:rPr>
        <w:t>四、投标保证金</w:t>
      </w:r>
      <w:r>
        <w:tab/>
      </w:r>
      <w:r>
        <w:fldChar w:fldCharType="begin"/>
      </w:r>
      <w:r>
        <w:instrText xml:space="preserve"> PAGEREF _Toc1429153 \h </w:instrText>
      </w:r>
      <w:r>
        <w:fldChar w:fldCharType="separate"/>
      </w:r>
      <w:r>
        <w:t>37</w:t>
      </w:r>
      <w:r>
        <w:fldChar w:fldCharType="end"/>
      </w:r>
      <w:r>
        <w:fldChar w:fldCharType="end"/>
      </w:r>
    </w:p>
    <w:p>
      <w:pPr>
        <w:pStyle w:val="28"/>
        <w:rPr>
          <w:rFonts w:ascii="Calibri" w:hAnsi="Calibri" w:cs="Calibri"/>
          <w:kern w:val="2"/>
          <w:sz w:val="21"/>
          <w:szCs w:val="21"/>
        </w:rPr>
      </w:pPr>
      <w:r>
        <w:fldChar w:fldCharType="begin"/>
      </w:r>
      <w:r>
        <w:instrText xml:space="preserve"> HYPERLINK \l "_Toc1429154" </w:instrText>
      </w:r>
      <w:r>
        <w:fldChar w:fldCharType="separate"/>
      </w:r>
      <w:r>
        <w:rPr>
          <w:rStyle w:val="33"/>
          <w:rFonts w:hint="eastAsia" w:cs="宋体"/>
        </w:rPr>
        <w:t>五、投标人资格声明</w:t>
      </w:r>
      <w:r>
        <w:tab/>
      </w:r>
      <w:r>
        <w:fldChar w:fldCharType="begin"/>
      </w:r>
      <w:r>
        <w:instrText xml:space="preserve"> PAGEREF _Toc1429154 \h </w:instrText>
      </w:r>
      <w:r>
        <w:fldChar w:fldCharType="separate"/>
      </w:r>
      <w:r>
        <w:t>38</w:t>
      </w:r>
      <w:r>
        <w:fldChar w:fldCharType="end"/>
      </w:r>
      <w:r>
        <w:fldChar w:fldCharType="end"/>
      </w:r>
    </w:p>
    <w:p>
      <w:pPr>
        <w:pStyle w:val="28"/>
        <w:rPr>
          <w:rFonts w:ascii="Calibri" w:hAnsi="Calibri" w:cs="Calibri"/>
          <w:kern w:val="2"/>
          <w:sz w:val="21"/>
          <w:szCs w:val="21"/>
        </w:rPr>
      </w:pPr>
      <w:r>
        <w:fldChar w:fldCharType="begin"/>
      </w:r>
      <w:r>
        <w:instrText xml:space="preserve"> HYPERLINK \l "_Toc1429155" </w:instrText>
      </w:r>
      <w:r>
        <w:fldChar w:fldCharType="separate"/>
      </w:r>
      <w:r>
        <w:rPr>
          <w:rStyle w:val="33"/>
          <w:rFonts w:hint="eastAsia" w:cs="宋体"/>
        </w:rPr>
        <w:t>六、</w:t>
      </w:r>
      <w:r>
        <w:rPr>
          <w:rStyle w:val="33"/>
          <w:rFonts w:hint="eastAsia" w:ascii="宋体" w:hAnsi="宋体" w:cs="宋体"/>
        </w:rPr>
        <w:t>参加此项采购活动前三年内，在经营活动中没有重大违法记录声明</w:t>
      </w:r>
      <w:r>
        <w:tab/>
      </w:r>
      <w:r>
        <w:fldChar w:fldCharType="begin"/>
      </w:r>
      <w:r>
        <w:instrText xml:space="preserve"> PAGEREF _Toc1429155 \h </w:instrText>
      </w:r>
      <w:r>
        <w:fldChar w:fldCharType="separate"/>
      </w:r>
      <w:r>
        <w:t>42</w:t>
      </w:r>
      <w:r>
        <w:fldChar w:fldCharType="end"/>
      </w:r>
      <w:r>
        <w:fldChar w:fldCharType="end"/>
      </w:r>
    </w:p>
    <w:p>
      <w:pPr>
        <w:pStyle w:val="28"/>
        <w:rPr>
          <w:rFonts w:ascii="Calibri" w:hAnsi="Calibri" w:cs="Calibri"/>
          <w:kern w:val="2"/>
          <w:sz w:val="21"/>
          <w:szCs w:val="21"/>
        </w:rPr>
      </w:pPr>
      <w:r>
        <w:fldChar w:fldCharType="begin"/>
      </w:r>
      <w:r>
        <w:instrText xml:space="preserve"> HYPERLINK \l "_Toc1429156" </w:instrText>
      </w:r>
      <w:r>
        <w:fldChar w:fldCharType="separate"/>
      </w:r>
      <w:r>
        <w:rPr>
          <w:rStyle w:val="33"/>
          <w:rFonts w:hint="eastAsia" w:cs="宋体"/>
        </w:rPr>
        <w:t>七、</w:t>
      </w:r>
      <w:r>
        <w:rPr>
          <w:rStyle w:val="33"/>
          <w:rFonts w:hint="eastAsia" w:ascii="宋体" w:hAnsi="宋体" w:cs="宋体"/>
        </w:rPr>
        <w:t>中小企业声明函</w:t>
      </w:r>
      <w:r>
        <w:tab/>
      </w:r>
      <w:r>
        <w:fldChar w:fldCharType="begin"/>
      </w:r>
      <w:r>
        <w:instrText xml:space="preserve"> PAGEREF _Toc1429156 \h </w:instrText>
      </w:r>
      <w:r>
        <w:fldChar w:fldCharType="separate"/>
      </w:r>
      <w:r>
        <w:t>43</w:t>
      </w:r>
      <w:r>
        <w:fldChar w:fldCharType="end"/>
      </w:r>
      <w:r>
        <w:fldChar w:fldCharType="end"/>
      </w:r>
    </w:p>
    <w:p>
      <w:pPr>
        <w:pStyle w:val="28"/>
        <w:rPr>
          <w:rFonts w:ascii="Calibri" w:hAnsi="Calibri" w:cs="Calibri"/>
          <w:kern w:val="2"/>
          <w:sz w:val="21"/>
          <w:szCs w:val="21"/>
        </w:rPr>
      </w:pPr>
      <w:r>
        <w:fldChar w:fldCharType="begin"/>
      </w:r>
      <w:r>
        <w:instrText xml:space="preserve"> HYPERLINK \l "_Toc1429157" </w:instrText>
      </w:r>
      <w:r>
        <w:fldChar w:fldCharType="separate"/>
      </w:r>
      <w:r>
        <w:rPr>
          <w:rStyle w:val="33"/>
          <w:rFonts w:hint="eastAsia" w:cs="宋体"/>
        </w:rPr>
        <w:t>八、开标一览表</w:t>
      </w:r>
      <w:r>
        <w:tab/>
      </w:r>
      <w:r>
        <w:fldChar w:fldCharType="begin"/>
      </w:r>
      <w:r>
        <w:instrText xml:space="preserve"> PAGEREF _Toc1429157 \h </w:instrText>
      </w:r>
      <w:r>
        <w:fldChar w:fldCharType="separate"/>
      </w:r>
      <w:r>
        <w:t>44</w:t>
      </w:r>
      <w:r>
        <w:fldChar w:fldCharType="end"/>
      </w:r>
      <w:r>
        <w:fldChar w:fldCharType="end"/>
      </w:r>
    </w:p>
    <w:p>
      <w:pPr>
        <w:pStyle w:val="28"/>
        <w:rPr>
          <w:rFonts w:ascii="Calibri" w:hAnsi="Calibri" w:cs="Calibri"/>
          <w:kern w:val="2"/>
          <w:sz w:val="21"/>
          <w:szCs w:val="21"/>
        </w:rPr>
      </w:pPr>
      <w:r>
        <w:fldChar w:fldCharType="begin"/>
      </w:r>
      <w:r>
        <w:instrText xml:space="preserve"> HYPERLINK \l "_Toc1429158" </w:instrText>
      </w:r>
      <w:r>
        <w:fldChar w:fldCharType="separate"/>
      </w:r>
      <w:r>
        <w:rPr>
          <w:rStyle w:val="33"/>
          <w:rFonts w:hint="eastAsia" w:cs="宋体"/>
        </w:rPr>
        <w:t>九、投标报价明细表</w:t>
      </w:r>
      <w:r>
        <w:tab/>
      </w:r>
      <w:r>
        <w:fldChar w:fldCharType="begin"/>
      </w:r>
      <w:r>
        <w:instrText xml:space="preserve"> PAGEREF _Toc1429158 \h </w:instrText>
      </w:r>
      <w:r>
        <w:fldChar w:fldCharType="separate"/>
      </w:r>
      <w:r>
        <w:t>45</w:t>
      </w:r>
      <w:r>
        <w:fldChar w:fldCharType="end"/>
      </w:r>
      <w:r>
        <w:fldChar w:fldCharType="end"/>
      </w:r>
    </w:p>
    <w:p>
      <w:pPr>
        <w:pStyle w:val="24"/>
        <w:tabs>
          <w:tab w:val="right" w:leader="dot" w:pos="8890"/>
        </w:tabs>
        <w:rPr>
          <w:rFonts w:ascii="Calibri" w:hAnsi="Calibri" w:cs="Calibri"/>
          <w:kern w:val="2"/>
          <w:sz w:val="21"/>
          <w:szCs w:val="21"/>
        </w:rPr>
      </w:pPr>
      <w:r>
        <w:fldChar w:fldCharType="begin"/>
      </w:r>
      <w:r>
        <w:instrText xml:space="preserve"> HYPERLINK \l "_Toc1429159" </w:instrText>
      </w:r>
      <w:r>
        <w:fldChar w:fldCharType="separate"/>
      </w:r>
      <w:r>
        <w:rPr>
          <w:rStyle w:val="33"/>
          <w:rFonts w:hint="eastAsia"/>
        </w:rPr>
        <w:t>第七部分招标业务需求及技术要求</w:t>
      </w:r>
      <w:r>
        <w:rPr>
          <w:rFonts w:cs="Times New Roman"/>
        </w:rPr>
        <w:tab/>
      </w:r>
      <w:r>
        <w:fldChar w:fldCharType="begin"/>
      </w:r>
      <w:r>
        <w:instrText xml:space="preserve"> PAGEREF _Toc1429159 \h </w:instrText>
      </w:r>
      <w:r>
        <w:fldChar w:fldCharType="separate"/>
      </w:r>
      <w:r>
        <w:t>46</w:t>
      </w:r>
      <w:r>
        <w:fldChar w:fldCharType="end"/>
      </w:r>
      <w:r>
        <w:fldChar w:fldCharType="end"/>
      </w:r>
    </w:p>
    <w:p>
      <w:pPr>
        <w:pStyle w:val="24"/>
        <w:tabs>
          <w:tab w:val="right" w:leader="dot" w:pos="8890"/>
        </w:tabs>
        <w:rPr>
          <w:rFonts w:ascii="Calibri" w:hAnsi="Calibri" w:cs="Calibri"/>
          <w:kern w:val="2"/>
          <w:sz w:val="21"/>
          <w:szCs w:val="21"/>
        </w:rPr>
      </w:pPr>
      <w:r>
        <w:fldChar w:fldCharType="begin"/>
      </w:r>
      <w:r>
        <w:instrText xml:space="preserve"> HYPERLINK \l "_Toc1429160" </w:instrText>
      </w:r>
      <w:r>
        <w:fldChar w:fldCharType="separate"/>
      </w:r>
      <w:r>
        <w:rPr>
          <w:rStyle w:val="33"/>
        </w:rPr>
        <w:t>1.</w:t>
      </w:r>
      <w:r>
        <w:rPr>
          <w:rStyle w:val="33"/>
          <w:rFonts w:hint="eastAsia"/>
        </w:rPr>
        <w:t>概述</w:t>
      </w:r>
      <w:r>
        <w:rPr>
          <w:rFonts w:cs="Times New Roman"/>
        </w:rPr>
        <w:tab/>
      </w:r>
      <w:r>
        <w:fldChar w:fldCharType="begin"/>
      </w:r>
      <w:r>
        <w:instrText xml:space="preserve"> PAGEREF _Toc1429160 \h </w:instrText>
      </w:r>
      <w:r>
        <w:fldChar w:fldCharType="separate"/>
      </w:r>
      <w:r>
        <w:t>46</w:t>
      </w:r>
      <w:r>
        <w:fldChar w:fldCharType="end"/>
      </w:r>
      <w:r>
        <w:fldChar w:fldCharType="end"/>
      </w:r>
    </w:p>
    <w:p>
      <w:pPr>
        <w:pStyle w:val="28"/>
        <w:rPr>
          <w:rFonts w:ascii="Calibri" w:hAnsi="Calibri" w:cs="Calibri"/>
          <w:kern w:val="2"/>
          <w:sz w:val="21"/>
          <w:szCs w:val="21"/>
        </w:rPr>
      </w:pPr>
      <w:r>
        <w:fldChar w:fldCharType="begin"/>
      </w:r>
      <w:r>
        <w:instrText xml:space="preserve"> HYPERLINK \l "_Toc1429161" </w:instrText>
      </w:r>
      <w:r>
        <w:fldChar w:fldCharType="separate"/>
      </w:r>
      <w:r>
        <w:rPr>
          <w:rStyle w:val="33"/>
          <w:rFonts w:ascii="宋体" w:hAnsi="宋体" w:cs="宋体"/>
        </w:rPr>
        <w:t>1.3</w:t>
      </w:r>
      <w:r>
        <w:rPr>
          <w:rStyle w:val="33"/>
          <w:rFonts w:hint="eastAsia" w:ascii="宋体" w:hAnsi="宋体" w:cs="宋体"/>
        </w:rPr>
        <w:t>甘肃警察职业学院运维项目目标</w:t>
      </w:r>
      <w:r>
        <w:tab/>
      </w:r>
      <w:r>
        <w:fldChar w:fldCharType="begin"/>
      </w:r>
      <w:r>
        <w:instrText xml:space="preserve"> PAGEREF _Toc1429161 \h </w:instrText>
      </w:r>
      <w:r>
        <w:fldChar w:fldCharType="separate"/>
      </w:r>
      <w:r>
        <w:t>46</w:t>
      </w:r>
      <w:r>
        <w:fldChar w:fldCharType="end"/>
      </w:r>
      <w:r>
        <w:fldChar w:fldCharType="end"/>
      </w:r>
    </w:p>
    <w:p>
      <w:pPr>
        <w:pStyle w:val="24"/>
        <w:tabs>
          <w:tab w:val="right" w:leader="dot" w:pos="8890"/>
        </w:tabs>
        <w:rPr>
          <w:rFonts w:ascii="Calibri" w:hAnsi="Calibri" w:cs="Calibri"/>
          <w:kern w:val="2"/>
          <w:sz w:val="21"/>
          <w:szCs w:val="21"/>
        </w:rPr>
      </w:pPr>
      <w:r>
        <w:fldChar w:fldCharType="begin"/>
      </w:r>
      <w:r>
        <w:instrText xml:space="preserve"> HYPERLINK \l "_Toc1429162" </w:instrText>
      </w:r>
      <w:r>
        <w:fldChar w:fldCharType="separate"/>
      </w:r>
      <w:r>
        <w:rPr>
          <w:rStyle w:val="33"/>
        </w:rPr>
        <w:t>2.</w:t>
      </w:r>
      <w:r>
        <w:rPr>
          <w:rStyle w:val="33"/>
          <w:rFonts w:hint="eastAsia"/>
        </w:rPr>
        <w:t>运维项目基本要求</w:t>
      </w:r>
      <w:r>
        <w:rPr>
          <w:rFonts w:cs="Times New Roman"/>
        </w:rPr>
        <w:tab/>
      </w:r>
      <w:r>
        <w:fldChar w:fldCharType="begin"/>
      </w:r>
      <w:r>
        <w:instrText xml:space="preserve"> PAGEREF _Toc1429162 \h </w:instrText>
      </w:r>
      <w:r>
        <w:fldChar w:fldCharType="separate"/>
      </w:r>
      <w:r>
        <w:t>46</w:t>
      </w:r>
      <w:r>
        <w:fldChar w:fldCharType="end"/>
      </w:r>
      <w:r>
        <w:fldChar w:fldCharType="end"/>
      </w:r>
    </w:p>
    <w:p>
      <w:pPr>
        <w:pStyle w:val="28"/>
        <w:rPr>
          <w:rFonts w:ascii="Calibri" w:hAnsi="Calibri" w:cs="Calibri"/>
          <w:kern w:val="2"/>
          <w:sz w:val="21"/>
          <w:szCs w:val="21"/>
        </w:rPr>
      </w:pPr>
      <w:r>
        <w:fldChar w:fldCharType="begin"/>
      </w:r>
      <w:r>
        <w:instrText xml:space="preserve"> HYPERLINK \l "_Toc1429163" </w:instrText>
      </w:r>
      <w:r>
        <w:fldChar w:fldCharType="separate"/>
      </w:r>
      <w:r>
        <w:rPr>
          <w:rStyle w:val="33"/>
          <w:rFonts w:ascii="宋体" w:hAnsi="宋体" w:cs="宋体"/>
        </w:rPr>
        <w:t>2.1</w:t>
      </w:r>
      <w:r>
        <w:rPr>
          <w:rStyle w:val="33"/>
          <w:rFonts w:hint="eastAsia" w:ascii="宋体" w:hAnsi="宋体" w:cs="宋体"/>
        </w:rPr>
        <w:t>项目执行周期</w:t>
      </w:r>
      <w:r>
        <w:tab/>
      </w:r>
      <w:r>
        <w:fldChar w:fldCharType="begin"/>
      </w:r>
      <w:r>
        <w:instrText xml:space="preserve"> PAGEREF _Toc1429163 \h </w:instrText>
      </w:r>
      <w:r>
        <w:fldChar w:fldCharType="separate"/>
      </w:r>
      <w:r>
        <w:t>46</w:t>
      </w:r>
      <w:r>
        <w:fldChar w:fldCharType="end"/>
      </w:r>
      <w:r>
        <w:fldChar w:fldCharType="end"/>
      </w:r>
    </w:p>
    <w:p>
      <w:pPr>
        <w:pStyle w:val="28"/>
        <w:rPr>
          <w:rFonts w:ascii="Calibri" w:hAnsi="Calibri" w:cs="Calibri"/>
          <w:kern w:val="2"/>
          <w:sz w:val="21"/>
          <w:szCs w:val="21"/>
        </w:rPr>
      </w:pPr>
      <w:r>
        <w:fldChar w:fldCharType="begin"/>
      </w:r>
      <w:r>
        <w:instrText xml:space="preserve"> HYPERLINK \l "_Toc1429164" </w:instrText>
      </w:r>
      <w:r>
        <w:fldChar w:fldCharType="separate"/>
      </w:r>
      <w:r>
        <w:rPr>
          <w:rStyle w:val="33"/>
          <w:rFonts w:ascii="宋体" w:hAnsi="宋体" w:cs="宋体"/>
        </w:rPr>
        <w:t>2.2</w:t>
      </w:r>
      <w:r>
        <w:rPr>
          <w:rStyle w:val="33"/>
          <w:rFonts w:hint="eastAsia" w:ascii="宋体" w:hAnsi="宋体" w:cs="宋体"/>
        </w:rPr>
        <w:t>战略共赢目标要求</w:t>
      </w:r>
      <w:r>
        <w:tab/>
      </w:r>
      <w:r>
        <w:fldChar w:fldCharType="begin"/>
      </w:r>
      <w:r>
        <w:instrText xml:space="preserve"> PAGEREF _Toc1429164 \h </w:instrText>
      </w:r>
      <w:r>
        <w:fldChar w:fldCharType="separate"/>
      </w:r>
      <w:r>
        <w:t>46</w:t>
      </w:r>
      <w:r>
        <w:fldChar w:fldCharType="end"/>
      </w:r>
      <w:r>
        <w:fldChar w:fldCharType="end"/>
      </w:r>
    </w:p>
    <w:p>
      <w:pPr>
        <w:pStyle w:val="28"/>
        <w:rPr>
          <w:rFonts w:ascii="Calibri" w:hAnsi="Calibri" w:cs="Calibri"/>
          <w:kern w:val="2"/>
          <w:sz w:val="21"/>
          <w:szCs w:val="21"/>
        </w:rPr>
      </w:pPr>
      <w:r>
        <w:fldChar w:fldCharType="begin"/>
      </w:r>
      <w:r>
        <w:instrText xml:space="preserve"> HYPERLINK \l "_Toc1429165" </w:instrText>
      </w:r>
      <w:r>
        <w:fldChar w:fldCharType="separate"/>
      </w:r>
      <w:r>
        <w:rPr>
          <w:rStyle w:val="33"/>
          <w:rFonts w:ascii="宋体" w:hAnsi="宋体" w:cs="宋体"/>
        </w:rPr>
        <w:t>2.3</w:t>
      </w:r>
      <w:r>
        <w:rPr>
          <w:rStyle w:val="33"/>
          <w:rFonts w:hint="eastAsia" w:ascii="宋体" w:hAnsi="宋体" w:cs="宋体"/>
        </w:rPr>
        <w:t>投标人能力要求</w:t>
      </w:r>
      <w:r>
        <w:tab/>
      </w:r>
      <w:r>
        <w:fldChar w:fldCharType="begin"/>
      </w:r>
      <w:r>
        <w:instrText xml:space="preserve"> PAGEREF _Toc1429165 \h </w:instrText>
      </w:r>
      <w:r>
        <w:fldChar w:fldCharType="separate"/>
      </w:r>
      <w:r>
        <w:t>47</w:t>
      </w:r>
      <w:r>
        <w:fldChar w:fldCharType="end"/>
      </w:r>
      <w:r>
        <w:fldChar w:fldCharType="end"/>
      </w:r>
    </w:p>
    <w:p>
      <w:pPr>
        <w:pStyle w:val="28"/>
        <w:rPr>
          <w:rFonts w:ascii="Calibri" w:hAnsi="Calibri" w:cs="Calibri"/>
          <w:kern w:val="2"/>
          <w:sz w:val="21"/>
          <w:szCs w:val="21"/>
        </w:rPr>
      </w:pPr>
      <w:r>
        <w:fldChar w:fldCharType="begin"/>
      </w:r>
      <w:r>
        <w:instrText xml:space="preserve"> HYPERLINK \l "_Toc1429166" </w:instrText>
      </w:r>
      <w:r>
        <w:fldChar w:fldCharType="separate"/>
      </w:r>
      <w:r>
        <w:rPr>
          <w:rStyle w:val="33"/>
          <w:rFonts w:ascii="宋体" w:hAnsi="宋体" w:cs="宋体"/>
        </w:rPr>
        <w:t>2.4</w:t>
      </w:r>
      <w:r>
        <w:rPr>
          <w:rStyle w:val="33"/>
          <w:rFonts w:hint="eastAsia" w:ascii="宋体" w:hAnsi="宋体" w:cs="宋体"/>
        </w:rPr>
        <w:t>商务条件</w:t>
      </w:r>
      <w:r>
        <w:tab/>
      </w:r>
      <w:r>
        <w:fldChar w:fldCharType="begin"/>
      </w:r>
      <w:r>
        <w:instrText xml:space="preserve"> PAGEREF _Toc1429166 \h </w:instrText>
      </w:r>
      <w:r>
        <w:fldChar w:fldCharType="separate"/>
      </w:r>
      <w:r>
        <w:t>47</w:t>
      </w:r>
      <w:r>
        <w:fldChar w:fldCharType="end"/>
      </w:r>
      <w:r>
        <w:fldChar w:fldCharType="end"/>
      </w:r>
    </w:p>
    <w:p>
      <w:pPr>
        <w:pStyle w:val="28"/>
        <w:rPr>
          <w:rFonts w:ascii="Calibri" w:hAnsi="Calibri" w:cs="Calibri"/>
          <w:kern w:val="2"/>
          <w:sz w:val="21"/>
          <w:szCs w:val="21"/>
        </w:rPr>
      </w:pPr>
      <w:r>
        <w:fldChar w:fldCharType="begin"/>
      </w:r>
      <w:r>
        <w:instrText xml:space="preserve"> HYPERLINK \l "_Toc1429167" </w:instrText>
      </w:r>
      <w:r>
        <w:fldChar w:fldCharType="separate"/>
      </w:r>
      <w:r>
        <w:rPr>
          <w:rStyle w:val="33"/>
          <w:rFonts w:ascii="宋体" w:hAnsi="宋体" w:cs="宋体"/>
        </w:rPr>
        <w:t>2.5</w:t>
      </w:r>
      <w:r>
        <w:rPr>
          <w:rStyle w:val="33"/>
          <w:rFonts w:hint="eastAsia" w:ascii="宋体" w:hAnsi="宋体" w:cs="宋体"/>
        </w:rPr>
        <w:t>运维费支付方式</w:t>
      </w:r>
      <w:r>
        <w:tab/>
      </w:r>
      <w:r>
        <w:fldChar w:fldCharType="begin"/>
      </w:r>
      <w:r>
        <w:instrText xml:space="preserve"> PAGEREF _Toc1429167 \h </w:instrText>
      </w:r>
      <w:r>
        <w:fldChar w:fldCharType="separate"/>
      </w:r>
      <w:r>
        <w:t>47</w:t>
      </w:r>
      <w:r>
        <w:fldChar w:fldCharType="end"/>
      </w:r>
      <w:r>
        <w:fldChar w:fldCharType="end"/>
      </w:r>
    </w:p>
    <w:p>
      <w:pPr>
        <w:pStyle w:val="28"/>
        <w:rPr>
          <w:rFonts w:ascii="Calibri" w:hAnsi="Calibri" w:cs="Calibri"/>
          <w:kern w:val="2"/>
          <w:sz w:val="21"/>
          <w:szCs w:val="21"/>
        </w:rPr>
      </w:pPr>
      <w:r>
        <w:fldChar w:fldCharType="begin"/>
      </w:r>
      <w:r>
        <w:instrText xml:space="preserve"> HYPERLINK \l "_Toc1429168" </w:instrText>
      </w:r>
      <w:r>
        <w:fldChar w:fldCharType="separate"/>
      </w:r>
      <w:r>
        <w:rPr>
          <w:rStyle w:val="33"/>
          <w:rFonts w:ascii="宋体" w:hAnsi="宋体" w:cs="宋体"/>
        </w:rPr>
        <w:t>2.6</w:t>
      </w:r>
      <w:r>
        <w:rPr>
          <w:rStyle w:val="33"/>
          <w:rFonts w:hint="eastAsia" w:ascii="宋体" w:hAnsi="宋体" w:cs="宋体"/>
        </w:rPr>
        <w:t>确保平滑稳定迁移</w:t>
      </w:r>
      <w:r>
        <w:tab/>
      </w:r>
      <w:r>
        <w:fldChar w:fldCharType="begin"/>
      </w:r>
      <w:r>
        <w:instrText xml:space="preserve"> PAGEREF _Toc1429168 \h </w:instrText>
      </w:r>
      <w:r>
        <w:fldChar w:fldCharType="separate"/>
      </w:r>
      <w:r>
        <w:t>47</w:t>
      </w:r>
      <w:r>
        <w:fldChar w:fldCharType="end"/>
      </w:r>
      <w:r>
        <w:fldChar w:fldCharType="end"/>
      </w:r>
    </w:p>
    <w:p>
      <w:pPr>
        <w:pStyle w:val="28"/>
        <w:rPr>
          <w:rFonts w:ascii="Calibri" w:hAnsi="Calibri" w:cs="Calibri"/>
          <w:kern w:val="2"/>
          <w:sz w:val="21"/>
          <w:szCs w:val="21"/>
        </w:rPr>
      </w:pPr>
      <w:r>
        <w:fldChar w:fldCharType="begin"/>
      </w:r>
      <w:r>
        <w:instrText xml:space="preserve"> HYPERLINK \l "_Toc1429169" </w:instrText>
      </w:r>
      <w:r>
        <w:fldChar w:fldCharType="separate"/>
      </w:r>
      <w:r>
        <w:rPr>
          <w:rStyle w:val="33"/>
          <w:rFonts w:ascii="宋体" w:hAnsi="宋体" w:cs="宋体"/>
        </w:rPr>
        <w:t>2.7</w:t>
      </w:r>
      <w:r>
        <w:rPr>
          <w:rStyle w:val="33"/>
          <w:rFonts w:hint="eastAsia" w:ascii="宋体" w:hAnsi="宋体" w:cs="宋体"/>
        </w:rPr>
        <w:t>技术先进性要求</w:t>
      </w:r>
      <w:r>
        <w:tab/>
      </w:r>
      <w:r>
        <w:fldChar w:fldCharType="begin"/>
      </w:r>
      <w:r>
        <w:instrText xml:space="preserve"> PAGEREF _Toc1429169 \h </w:instrText>
      </w:r>
      <w:r>
        <w:fldChar w:fldCharType="separate"/>
      </w:r>
      <w:r>
        <w:t>48</w:t>
      </w:r>
      <w:r>
        <w:fldChar w:fldCharType="end"/>
      </w:r>
      <w:r>
        <w:fldChar w:fldCharType="end"/>
      </w:r>
    </w:p>
    <w:p>
      <w:pPr>
        <w:pStyle w:val="28"/>
        <w:rPr>
          <w:rFonts w:ascii="Calibri" w:hAnsi="Calibri" w:cs="Calibri"/>
          <w:kern w:val="2"/>
          <w:sz w:val="21"/>
          <w:szCs w:val="21"/>
        </w:rPr>
      </w:pPr>
      <w:r>
        <w:fldChar w:fldCharType="begin"/>
      </w:r>
      <w:r>
        <w:instrText xml:space="preserve"> HYPERLINK \l "_Toc1429170" </w:instrText>
      </w:r>
      <w:r>
        <w:fldChar w:fldCharType="separate"/>
      </w:r>
      <w:r>
        <w:rPr>
          <w:rStyle w:val="33"/>
          <w:rFonts w:ascii="宋体" w:hAnsi="宋体" w:cs="宋体"/>
        </w:rPr>
        <w:t>2.8</w:t>
      </w:r>
      <w:r>
        <w:rPr>
          <w:rStyle w:val="33"/>
          <w:rFonts w:hint="eastAsia" w:ascii="宋体" w:hAnsi="宋体" w:cs="宋体"/>
        </w:rPr>
        <w:t>其他说明</w:t>
      </w:r>
      <w:r>
        <w:tab/>
      </w:r>
      <w:r>
        <w:fldChar w:fldCharType="begin"/>
      </w:r>
      <w:r>
        <w:instrText xml:space="preserve"> PAGEREF _Toc1429170 \h </w:instrText>
      </w:r>
      <w:r>
        <w:fldChar w:fldCharType="separate"/>
      </w:r>
      <w:r>
        <w:t>48</w:t>
      </w:r>
      <w:r>
        <w:fldChar w:fldCharType="end"/>
      </w:r>
      <w:r>
        <w:fldChar w:fldCharType="end"/>
      </w:r>
    </w:p>
    <w:p>
      <w:pPr>
        <w:pStyle w:val="24"/>
        <w:tabs>
          <w:tab w:val="right" w:leader="dot" w:pos="8890"/>
        </w:tabs>
        <w:rPr>
          <w:rFonts w:ascii="Calibri" w:hAnsi="Calibri" w:cs="Calibri"/>
          <w:kern w:val="2"/>
          <w:sz w:val="21"/>
          <w:szCs w:val="21"/>
        </w:rPr>
      </w:pPr>
      <w:r>
        <w:fldChar w:fldCharType="begin"/>
      </w:r>
      <w:r>
        <w:instrText xml:space="preserve"> HYPERLINK \l "_Toc1429171" </w:instrText>
      </w:r>
      <w:r>
        <w:fldChar w:fldCharType="separate"/>
      </w:r>
      <w:r>
        <w:rPr>
          <w:rStyle w:val="33"/>
        </w:rPr>
        <w:t>3.</w:t>
      </w:r>
      <w:r>
        <w:rPr>
          <w:rStyle w:val="33"/>
          <w:rFonts w:hint="eastAsia"/>
        </w:rPr>
        <w:t>运维服务需求与质量要求</w:t>
      </w:r>
      <w:r>
        <w:rPr>
          <w:rFonts w:cs="Times New Roman"/>
        </w:rPr>
        <w:tab/>
      </w:r>
      <w:r>
        <w:fldChar w:fldCharType="begin"/>
      </w:r>
      <w:r>
        <w:instrText xml:space="preserve"> PAGEREF _Toc1429171 \h </w:instrText>
      </w:r>
      <w:r>
        <w:fldChar w:fldCharType="separate"/>
      </w:r>
      <w:r>
        <w:t>48</w:t>
      </w:r>
      <w:r>
        <w:fldChar w:fldCharType="end"/>
      </w:r>
      <w:r>
        <w:fldChar w:fldCharType="end"/>
      </w:r>
    </w:p>
    <w:p>
      <w:pPr>
        <w:pStyle w:val="28"/>
        <w:rPr>
          <w:rFonts w:ascii="Calibri" w:hAnsi="Calibri" w:cs="Calibri"/>
          <w:kern w:val="2"/>
          <w:sz w:val="21"/>
          <w:szCs w:val="21"/>
        </w:rPr>
      </w:pPr>
      <w:r>
        <w:fldChar w:fldCharType="begin"/>
      </w:r>
      <w:r>
        <w:instrText xml:space="preserve"> HYPERLINK \l "_Toc1429172" </w:instrText>
      </w:r>
      <w:r>
        <w:fldChar w:fldCharType="separate"/>
      </w:r>
      <w:r>
        <w:rPr>
          <w:rStyle w:val="33"/>
          <w:rFonts w:ascii="宋体" w:hAnsi="宋体" w:cs="宋体"/>
        </w:rPr>
        <w:t>3.1</w:t>
      </w:r>
      <w:r>
        <w:rPr>
          <w:rStyle w:val="33"/>
          <w:rFonts w:hint="eastAsia" w:ascii="宋体" w:hAnsi="宋体" w:cs="宋体"/>
        </w:rPr>
        <w:t>总体要求</w:t>
      </w:r>
      <w:r>
        <w:tab/>
      </w:r>
      <w:r>
        <w:fldChar w:fldCharType="begin"/>
      </w:r>
      <w:r>
        <w:instrText xml:space="preserve"> PAGEREF _Toc1429172 \h </w:instrText>
      </w:r>
      <w:r>
        <w:fldChar w:fldCharType="separate"/>
      </w:r>
      <w:r>
        <w:t>48</w:t>
      </w:r>
      <w:r>
        <w:fldChar w:fldCharType="end"/>
      </w:r>
      <w:r>
        <w:fldChar w:fldCharType="end"/>
      </w:r>
    </w:p>
    <w:p>
      <w:pPr>
        <w:pStyle w:val="28"/>
        <w:rPr>
          <w:rFonts w:ascii="Calibri" w:hAnsi="Calibri" w:cs="Calibri"/>
          <w:kern w:val="2"/>
          <w:sz w:val="21"/>
          <w:szCs w:val="21"/>
        </w:rPr>
      </w:pPr>
      <w:r>
        <w:fldChar w:fldCharType="begin"/>
      </w:r>
      <w:r>
        <w:instrText xml:space="preserve"> HYPERLINK \l "_Toc1429173" </w:instrText>
      </w:r>
      <w:r>
        <w:fldChar w:fldCharType="separate"/>
      </w:r>
      <w:r>
        <w:rPr>
          <w:rStyle w:val="33"/>
          <w:rFonts w:ascii="宋体" w:hAnsi="宋体" w:cs="宋体"/>
        </w:rPr>
        <w:t>3.2</w:t>
      </w:r>
      <w:r>
        <w:rPr>
          <w:rStyle w:val="33"/>
          <w:rFonts w:hint="eastAsia" w:ascii="宋体" w:hAnsi="宋体" w:cs="宋体"/>
        </w:rPr>
        <w:t>服务内容</w:t>
      </w:r>
      <w:r>
        <w:tab/>
      </w:r>
      <w:r>
        <w:fldChar w:fldCharType="begin"/>
      </w:r>
      <w:r>
        <w:instrText xml:space="preserve"> PAGEREF _Toc1429173 \h </w:instrText>
      </w:r>
      <w:r>
        <w:fldChar w:fldCharType="separate"/>
      </w:r>
      <w:r>
        <w:t>49</w:t>
      </w:r>
      <w:r>
        <w:fldChar w:fldCharType="end"/>
      </w:r>
      <w:r>
        <w:fldChar w:fldCharType="end"/>
      </w:r>
    </w:p>
    <w:p>
      <w:pPr>
        <w:pStyle w:val="28"/>
        <w:rPr>
          <w:rFonts w:ascii="Calibri" w:hAnsi="Calibri" w:cs="Calibri"/>
          <w:kern w:val="2"/>
          <w:sz w:val="21"/>
          <w:szCs w:val="21"/>
        </w:rPr>
      </w:pPr>
      <w:r>
        <w:fldChar w:fldCharType="begin"/>
      </w:r>
      <w:r>
        <w:instrText xml:space="preserve"> HYPERLINK \l "_Toc1429174" </w:instrText>
      </w:r>
      <w:r>
        <w:fldChar w:fldCharType="separate"/>
      </w:r>
      <w:r>
        <w:rPr>
          <w:rStyle w:val="33"/>
          <w:rFonts w:ascii="宋体" w:hAnsi="宋体" w:cs="宋体"/>
        </w:rPr>
        <w:t>3.3</w:t>
      </w:r>
      <w:r>
        <w:rPr>
          <w:rStyle w:val="33"/>
          <w:rFonts w:hint="eastAsia" w:ascii="宋体" w:hAnsi="宋体" w:cs="宋体"/>
        </w:rPr>
        <w:t>服务范围</w:t>
      </w:r>
      <w:r>
        <w:tab/>
      </w:r>
      <w:r>
        <w:fldChar w:fldCharType="begin"/>
      </w:r>
      <w:r>
        <w:instrText xml:space="preserve"> PAGEREF _Toc1429174 \h </w:instrText>
      </w:r>
      <w:r>
        <w:fldChar w:fldCharType="separate"/>
      </w:r>
      <w:r>
        <w:t>49</w:t>
      </w:r>
      <w:r>
        <w:fldChar w:fldCharType="end"/>
      </w:r>
      <w:r>
        <w:fldChar w:fldCharType="end"/>
      </w:r>
    </w:p>
    <w:p>
      <w:pPr>
        <w:pStyle w:val="24"/>
        <w:tabs>
          <w:tab w:val="right" w:leader="dot" w:pos="8890"/>
        </w:tabs>
        <w:rPr>
          <w:rFonts w:ascii="Calibri" w:hAnsi="Calibri" w:cs="Calibri"/>
          <w:kern w:val="2"/>
          <w:sz w:val="21"/>
          <w:szCs w:val="21"/>
        </w:rPr>
      </w:pPr>
      <w:r>
        <w:fldChar w:fldCharType="begin"/>
      </w:r>
      <w:r>
        <w:instrText xml:space="preserve"> HYPERLINK \l "_Toc1429175" </w:instrText>
      </w:r>
      <w:r>
        <w:fldChar w:fldCharType="separate"/>
      </w:r>
      <w:r>
        <w:rPr>
          <w:rStyle w:val="33"/>
        </w:rPr>
        <w:t>4</w:t>
      </w:r>
      <w:r>
        <w:rPr>
          <w:rStyle w:val="33"/>
          <w:rFonts w:hint="eastAsia"/>
        </w:rPr>
        <w:t>、运维管理要求</w:t>
      </w:r>
      <w:r>
        <w:rPr>
          <w:rFonts w:cs="Times New Roman"/>
        </w:rPr>
        <w:tab/>
      </w:r>
      <w:r>
        <w:fldChar w:fldCharType="begin"/>
      </w:r>
      <w:r>
        <w:instrText xml:space="preserve"> PAGEREF _Toc1429175 \h </w:instrText>
      </w:r>
      <w:r>
        <w:fldChar w:fldCharType="separate"/>
      </w:r>
      <w:r>
        <w:t>50</w:t>
      </w:r>
      <w:r>
        <w:fldChar w:fldCharType="end"/>
      </w:r>
      <w:r>
        <w:fldChar w:fldCharType="end"/>
      </w:r>
    </w:p>
    <w:p>
      <w:pPr>
        <w:pStyle w:val="28"/>
        <w:rPr>
          <w:rFonts w:ascii="Calibri" w:hAnsi="Calibri" w:cs="Calibri"/>
          <w:kern w:val="2"/>
          <w:sz w:val="21"/>
          <w:szCs w:val="21"/>
        </w:rPr>
      </w:pPr>
      <w:r>
        <w:fldChar w:fldCharType="begin"/>
      </w:r>
      <w:r>
        <w:instrText xml:space="preserve"> HYPERLINK \l "_Toc1429176" </w:instrText>
      </w:r>
      <w:r>
        <w:fldChar w:fldCharType="separate"/>
      </w:r>
      <w:r>
        <w:rPr>
          <w:rStyle w:val="33"/>
          <w:rFonts w:ascii="宋体" w:hAnsi="宋体" w:cs="宋体"/>
        </w:rPr>
        <w:t>4.1</w:t>
      </w:r>
      <w:r>
        <w:rPr>
          <w:rStyle w:val="33"/>
          <w:rFonts w:hint="eastAsia" w:ascii="宋体" w:hAnsi="宋体" w:cs="宋体"/>
        </w:rPr>
        <w:t>投标人运维管理</w:t>
      </w:r>
      <w:r>
        <w:tab/>
      </w:r>
      <w:r>
        <w:fldChar w:fldCharType="begin"/>
      </w:r>
      <w:r>
        <w:instrText xml:space="preserve"> PAGEREF _Toc1429176 \h </w:instrText>
      </w:r>
      <w:r>
        <w:fldChar w:fldCharType="separate"/>
      </w:r>
      <w:r>
        <w:t>50</w:t>
      </w:r>
      <w:r>
        <w:fldChar w:fldCharType="end"/>
      </w:r>
      <w:r>
        <w:fldChar w:fldCharType="end"/>
      </w:r>
    </w:p>
    <w:p>
      <w:pPr>
        <w:pStyle w:val="15"/>
        <w:tabs>
          <w:tab w:val="right" w:leader="dot" w:pos="8890"/>
        </w:tabs>
        <w:rPr>
          <w:rFonts w:cs="Times New Roman"/>
          <w:kern w:val="2"/>
          <w:sz w:val="21"/>
          <w:szCs w:val="21"/>
        </w:rPr>
      </w:pPr>
      <w:r>
        <w:fldChar w:fldCharType="begin"/>
      </w:r>
      <w:r>
        <w:instrText xml:space="preserve"> HYPERLINK \l "_Toc1429177" </w:instrText>
      </w:r>
      <w:r>
        <w:fldChar w:fldCharType="separate"/>
      </w:r>
      <w:r>
        <w:rPr>
          <w:rStyle w:val="33"/>
          <w:rFonts w:ascii="宋体" w:hAnsi="宋体" w:cs="宋体"/>
        </w:rPr>
        <w:t>4.1.1</w:t>
      </w:r>
      <w:r>
        <w:rPr>
          <w:rStyle w:val="33"/>
          <w:rFonts w:hint="eastAsia" w:ascii="宋体" w:hAnsi="宋体" w:cs="宋体"/>
        </w:rPr>
        <w:t>运维管理制度规范</w:t>
      </w:r>
      <w:r>
        <w:rPr>
          <w:rFonts w:cs="Times New Roman"/>
        </w:rPr>
        <w:tab/>
      </w:r>
      <w:r>
        <w:fldChar w:fldCharType="begin"/>
      </w:r>
      <w:r>
        <w:instrText xml:space="preserve"> PAGEREF _Toc1429177 \h </w:instrText>
      </w:r>
      <w:r>
        <w:fldChar w:fldCharType="separate"/>
      </w:r>
      <w:r>
        <w:t>51</w:t>
      </w:r>
      <w:r>
        <w:fldChar w:fldCharType="end"/>
      </w:r>
      <w:r>
        <w:fldChar w:fldCharType="end"/>
      </w:r>
    </w:p>
    <w:p>
      <w:pPr>
        <w:pStyle w:val="15"/>
        <w:tabs>
          <w:tab w:val="right" w:leader="dot" w:pos="8890"/>
        </w:tabs>
        <w:rPr>
          <w:rFonts w:cs="Times New Roman"/>
          <w:kern w:val="2"/>
          <w:sz w:val="21"/>
          <w:szCs w:val="21"/>
        </w:rPr>
      </w:pPr>
      <w:r>
        <w:fldChar w:fldCharType="begin"/>
      </w:r>
      <w:r>
        <w:instrText xml:space="preserve"> HYPERLINK \l "_Toc1429178" </w:instrText>
      </w:r>
      <w:r>
        <w:fldChar w:fldCharType="separate"/>
      </w:r>
      <w:r>
        <w:rPr>
          <w:rStyle w:val="33"/>
          <w:rFonts w:ascii="宋体" w:hAnsi="宋体" w:cs="宋体"/>
        </w:rPr>
        <w:t>4.1.2</w:t>
      </w:r>
      <w:r>
        <w:rPr>
          <w:rStyle w:val="33"/>
          <w:rFonts w:hint="eastAsia" w:ascii="宋体" w:hAnsi="宋体" w:cs="宋体"/>
        </w:rPr>
        <w:t>运维管理技术平台建设</w:t>
      </w:r>
      <w:r>
        <w:rPr>
          <w:rFonts w:cs="Times New Roman"/>
        </w:rPr>
        <w:tab/>
      </w:r>
      <w:r>
        <w:fldChar w:fldCharType="begin"/>
      </w:r>
      <w:r>
        <w:instrText xml:space="preserve"> PAGEREF _Toc1429178 \h </w:instrText>
      </w:r>
      <w:r>
        <w:fldChar w:fldCharType="separate"/>
      </w:r>
      <w:r>
        <w:t>51</w:t>
      </w:r>
      <w:r>
        <w:fldChar w:fldCharType="end"/>
      </w:r>
      <w:r>
        <w:fldChar w:fldCharType="end"/>
      </w:r>
    </w:p>
    <w:p>
      <w:pPr>
        <w:pStyle w:val="28"/>
        <w:rPr>
          <w:rFonts w:ascii="Calibri" w:hAnsi="Calibri" w:cs="Calibri"/>
          <w:kern w:val="2"/>
          <w:sz w:val="21"/>
          <w:szCs w:val="21"/>
        </w:rPr>
      </w:pPr>
      <w:r>
        <w:fldChar w:fldCharType="begin"/>
      </w:r>
      <w:r>
        <w:instrText xml:space="preserve"> HYPERLINK \l "_Toc1429179" </w:instrText>
      </w:r>
      <w:r>
        <w:fldChar w:fldCharType="separate"/>
      </w:r>
      <w:r>
        <w:rPr>
          <w:rStyle w:val="33"/>
          <w:rFonts w:ascii="宋体" w:hAnsi="宋体" w:cs="宋体"/>
        </w:rPr>
        <w:t>4.2</w:t>
      </w:r>
      <w:r>
        <w:rPr>
          <w:rStyle w:val="33"/>
          <w:rFonts w:hint="eastAsia" w:ascii="宋体" w:hAnsi="宋体" w:cs="宋体"/>
        </w:rPr>
        <w:t>投标人运维团队建设及管理要求</w:t>
      </w:r>
      <w:r>
        <w:tab/>
      </w:r>
      <w:r>
        <w:fldChar w:fldCharType="begin"/>
      </w:r>
      <w:r>
        <w:instrText xml:space="preserve"> PAGEREF _Toc1429179 \h </w:instrText>
      </w:r>
      <w:r>
        <w:fldChar w:fldCharType="separate"/>
      </w:r>
      <w:r>
        <w:t>51</w:t>
      </w:r>
      <w:r>
        <w:fldChar w:fldCharType="end"/>
      </w:r>
      <w:r>
        <w:fldChar w:fldCharType="end"/>
      </w:r>
    </w:p>
    <w:p>
      <w:pPr>
        <w:pStyle w:val="15"/>
        <w:tabs>
          <w:tab w:val="right" w:leader="dot" w:pos="8890"/>
        </w:tabs>
        <w:rPr>
          <w:rFonts w:cs="Times New Roman"/>
          <w:kern w:val="2"/>
          <w:sz w:val="21"/>
          <w:szCs w:val="21"/>
        </w:rPr>
      </w:pPr>
      <w:r>
        <w:fldChar w:fldCharType="begin"/>
      </w:r>
      <w:r>
        <w:instrText xml:space="preserve"> HYPERLINK \l "_Toc1429180" </w:instrText>
      </w:r>
      <w:r>
        <w:fldChar w:fldCharType="separate"/>
      </w:r>
      <w:r>
        <w:rPr>
          <w:rStyle w:val="33"/>
          <w:rFonts w:ascii="宋体" w:hAnsi="宋体" w:cs="宋体"/>
        </w:rPr>
        <w:t>4.2.1</w:t>
      </w:r>
      <w:r>
        <w:rPr>
          <w:rStyle w:val="33"/>
          <w:rFonts w:hint="eastAsia" w:ascii="宋体" w:hAnsi="宋体" w:cs="宋体"/>
        </w:rPr>
        <w:t>投标人运维团队人员要求</w:t>
      </w:r>
      <w:r>
        <w:rPr>
          <w:rFonts w:cs="Times New Roman"/>
        </w:rPr>
        <w:tab/>
      </w:r>
      <w:r>
        <w:fldChar w:fldCharType="begin"/>
      </w:r>
      <w:r>
        <w:instrText xml:space="preserve"> PAGEREF _Toc1429180 \h </w:instrText>
      </w:r>
      <w:r>
        <w:fldChar w:fldCharType="separate"/>
      </w:r>
      <w:r>
        <w:t>52</w:t>
      </w:r>
      <w:r>
        <w:fldChar w:fldCharType="end"/>
      </w:r>
      <w:r>
        <w:fldChar w:fldCharType="end"/>
      </w:r>
    </w:p>
    <w:p>
      <w:pPr>
        <w:pStyle w:val="28"/>
        <w:rPr>
          <w:rFonts w:ascii="Calibri" w:hAnsi="Calibri" w:cs="Calibri"/>
          <w:kern w:val="2"/>
          <w:sz w:val="21"/>
          <w:szCs w:val="21"/>
        </w:rPr>
      </w:pPr>
      <w:r>
        <w:fldChar w:fldCharType="begin"/>
      </w:r>
      <w:r>
        <w:instrText xml:space="preserve"> HYPERLINK \l "_Toc1429181" </w:instrText>
      </w:r>
      <w:r>
        <w:fldChar w:fldCharType="separate"/>
      </w:r>
      <w:r>
        <w:rPr>
          <w:rStyle w:val="33"/>
          <w:rFonts w:ascii="宋体" w:hAnsi="宋体" w:cs="宋体"/>
        </w:rPr>
        <w:t>4.3</w:t>
      </w:r>
      <w:r>
        <w:rPr>
          <w:rStyle w:val="33"/>
          <w:rFonts w:hint="eastAsia" w:ascii="宋体" w:hAnsi="宋体" w:cs="宋体"/>
        </w:rPr>
        <w:t>技术要求</w:t>
      </w:r>
      <w:r>
        <w:tab/>
      </w:r>
      <w:r>
        <w:fldChar w:fldCharType="begin"/>
      </w:r>
      <w:r>
        <w:instrText xml:space="preserve"> PAGEREF _Toc1429181 \h </w:instrText>
      </w:r>
      <w:r>
        <w:fldChar w:fldCharType="separate"/>
      </w:r>
      <w:r>
        <w:t>53</w:t>
      </w:r>
      <w:r>
        <w:fldChar w:fldCharType="end"/>
      </w:r>
      <w:r>
        <w:fldChar w:fldCharType="end"/>
      </w:r>
    </w:p>
    <w:p>
      <w:pPr>
        <w:pStyle w:val="15"/>
        <w:tabs>
          <w:tab w:val="right" w:leader="dot" w:pos="8890"/>
        </w:tabs>
        <w:rPr>
          <w:rFonts w:cs="Times New Roman"/>
          <w:kern w:val="2"/>
          <w:sz w:val="21"/>
          <w:szCs w:val="21"/>
        </w:rPr>
      </w:pPr>
      <w:r>
        <w:fldChar w:fldCharType="begin"/>
      </w:r>
      <w:r>
        <w:instrText xml:space="preserve"> HYPERLINK \l "_Toc1429182" </w:instrText>
      </w:r>
      <w:r>
        <w:fldChar w:fldCharType="separate"/>
      </w:r>
      <w:r>
        <w:rPr>
          <w:rStyle w:val="33"/>
          <w:rFonts w:ascii="宋体" w:hAnsi="宋体" w:cs="宋体"/>
        </w:rPr>
        <w:t>4.3.1</w:t>
      </w:r>
      <w:r>
        <w:rPr>
          <w:rStyle w:val="33"/>
          <w:rFonts w:hint="eastAsia" w:ascii="宋体" w:hAnsi="宋体" w:cs="宋体"/>
        </w:rPr>
        <w:t>设备硬件维护及故障排除</w:t>
      </w:r>
      <w:r>
        <w:rPr>
          <w:rFonts w:cs="Times New Roman"/>
        </w:rPr>
        <w:tab/>
      </w:r>
      <w:r>
        <w:fldChar w:fldCharType="begin"/>
      </w:r>
      <w:r>
        <w:instrText xml:space="preserve"> PAGEREF _Toc1429182 \h </w:instrText>
      </w:r>
      <w:r>
        <w:fldChar w:fldCharType="separate"/>
      </w:r>
      <w:r>
        <w:t>53</w:t>
      </w:r>
      <w:r>
        <w:fldChar w:fldCharType="end"/>
      </w:r>
      <w:r>
        <w:fldChar w:fldCharType="end"/>
      </w:r>
    </w:p>
    <w:p>
      <w:pPr>
        <w:pStyle w:val="15"/>
        <w:tabs>
          <w:tab w:val="right" w:leader="dot" w:pos="8890"/>
        </w:tabs>
        <w:rPr>
          <w:rFonts w:cs="Times New Roman"/>
          <w:kern w:val="2"/>
          <w:sz w:val="21"/>
          <w:szCs w:val="21"/>
        </w:rPr>
      </w:pPr>
      <w:r>
        <w:fldChar w:fldCharType="begin"/>
      </w:r>
      <w:r>
        <w:instrText xml:space="preserve"> HYPERLINK \l "_Toc1429183" </w:instrText>
      </w:r>
      <w:r>
        <w:fldChar w:fldCharType="separate"/>
      </w:r>
      <w:r>
        <w:rPr>
          <w:rStyle w:val="33"/>
          <w:rFonts w:ascii="宋体" w:hAnsi="宋体" w:cs="宋体"/>
        </w:rPr>
        <w:t>4.3.2</w:t>
      </w:r>
      <w:r>
        <w:rPr>
          <w:rStyle w:val="33"/>
          <w:rFonts w:hint="eastAsia" w:ascii="宋体" w:hAnsi="宋体" w:cs="宋体"/>
        </w:rPr>
        <w:t>软件故障的快速排除</w:t>
      </w:r>
      <w:r>
        <w:rPr>
          <w:rFonts w:cs="Times New Roman"/>
        </w:rPr>
        <w:tab/>
      </w:r>
      <w:r>
        <w:fldChar w:fldCharType="begin"/>
      </w:r>
      <w:r>
        <w:instrText xml:space="preserve"> PAGEREF _Toc1429183 \h </w:instrText>
      </w:r>
      <w:r>
        <w:fldChar w:fldCharType="separate"/>
      </w:r>
      <w:r>
        <w:t>53</w:t>
      </w:r>
      <w:r>
        <w:fldChar w:fldCharType="end"/>
      </w:r>
      <w:r>
        <w:fldChar w:fldCharType="end"/>
      </w:r>
    </w:p>
    <w:p>
      <w:pPr>
        <w:pStyle w:val="28"/>
        <w:rPr>
          <w:rFonts w:ascii="Calibri" w:hAnsi="Calibri" w:cs="Calibri"/>
          <w:kern w:val="2"/>
          <w:sz w:val="21"/>
          <w:szCs w:val="21"/>
        </w:rPr>
      </w:pPr>
      <w:r>
        <w:fldChar w:fldCharType="begin"/>
      </w:r>
      <w:r>
        <w:instrText xml:space="preserve"> HYPERLINK \l "_Toc1429184" </w:instrText>
      </w:r>
      <w:r>
        <w:fldChar w:fldCharType="separate"/>
      </w:r>
      <w:r>
        <w:rPr>
          <w:rStyle w:val="33"/>
          <w:rFonts w:ascii="宋体" w:hAnsi="宋体" w:cs="宋体"/>
        </w:rPr>
        <w:t>4.4</w:t>
      </w:r>
      <w:r>
        <w:rPr>
          <w:rStyle w:val="33"/>
          <w:rFonts w:hint="eastAsia" w:ascii="宋体" w:hAnsi="宋体" w:cs="宋体"/>
        </w:rPr>
        <w:t>其他延伸服务</w:t>
      </w:r>
      <w:r>
        <w:tab/>
      </w:r>
      <w:r>
        <w:fldChar w:fldCharType="begin"/>
      </w:r>
      <w:r>
        <w:instrText xml:space="preserve"> PAGEREF _Toc1429184 \h </w:instrText>
      </w:r>
      <w:r>
        <w:fldChar w:fldCharType="separate"/>
      </w:r>
      <w:r>
        <w:t>54</w:t>
      </w:r>
      <w:r>
        <w:fldChar w:fldCharType="end"/>
      </w:r>
      <w:r>
        <w:fldChar w:fldCharType="end"/>
      </w:r>
    </w:p>
    <w:p>
      <w:pPr>
        <w:pStyle w:val="28"/>
        <w:rPr>
          <w:rFonts w:ascii="Calibri" w:hAnsi="Calibri" w:cs="Calibri"/>
          <w:kern w:val="2"/>
          <w:sz w:val="21"/>
          <w:szCs w:val="21"/>
        </w:rPr>
      </w:pPr>
      <w:r>
        <w:fldChar w:fldCharType="begin"/>
      </w:r>
      <w:r>
        <w:instrText xml:space="preserve"> HYPERLINK \l "_Toc1429185" </w:instrText>
      </w:r>
      <w:r>
        <w:fldChar w:fldCharType="separate"/>
      </w:r>
      <w:r>
        <w:rPr>
          <w:rStyle w:val="33"/>
          <w:rFonts w:ascii="宋体" w:hAnsi="宋体" w:cs="宋体"/>
        </w:rPr>
        <w:t>4.5</w:t>
      </w:r>
      <w:r>
        <w:rPr>
          <w:rStyle w:val="33"/>
          <w:rFonts w:hint="eastAsia" w:ascii="宋体" w:hAnsi="宋体" w:cs="宋体"/>
        </w:rPr>
        <w:t>其他要求：</w:t>
      </w:r>
      <w:r>
        <w:tab/>
      </w:r>
      <w:r>
        <w:fldChar w:fldCharType="begin"/>
      </w:r>
      <w:r>
        <w:instrText xml:space="preserve"> PAGEREF _Toc1429185 \h </w:instrText>
      </w:r>
      <w:r>
        <w:fldChar w:fldCharType="separate"/>
      </w:r>
      <w:r>
        <w:t>54</w:t>
      </w:r>
      <w:r>
        <w:fldChar w:fldCharType="end"/>
      </w:r>
      <w:r>
        <w:fldChar w:fldCharType="end"/>
      </w:r>
    </w:p>
    <w:p>
      <w:pPr>
        <w:pStyle w:val="24"/>
        <w:tabs>
          <w:tab w:val="right" w:leader="dot" w:pos="8890"/>
        </w:tabs>
        <w:rPr>
          <w:rFonts w:ascii="Calibri" w:hAnsi="Calibri" w:cs="Calibri"/>
          <w:kern w:val="2"/>
          <w:sz w:val="21"/>
          <w:szCs w:val="21"/>
        </w:rPr>
      </w:pPr>
      <w:r>
        <w:fldChar w:fldCharType="begin"/>
      </w:r>
      <w:r>
        <w:instrText xml:space="preserve"> HYPERLINK \l "_Toc1429186" </w:instrText>
      </w:r>
      <w:r>
        <w:fldChar w:fldCharType="separate"/>
      </w:r>
      <w:r>
        <w:rPr>
          <w:rStyle w:val="33"/>
        </w:rPr>
        <w:t>5</w:t>
      </w:r>
      <w:r>
        <w:rPr>
          <w:rStyle w:val="33"/>
          <w:rFonts w:hint="eastAsia"/>
        </w:rPr>
        <w:t>投标人技术文件应答要求</w:t>
      </w:r>
      <w:r>
        <w:rPr>
          <w:rFonts w:cs="Times New Roman"/>
        </w:rPr>
        <w:tab/>
      </w:r>
      <w:r>
        <w:fldChar w:fldCharType="begin"/>
      </w:r>
      <w:r>
        <w:instrText xml:space="preserve"> PAGEREF _Toc1429186 \h </w:instrText>
      </w:r>
      <w:r>
        <w:fldChar w:fldCharType="separate"/>
      </w:r>
      <w:r>
        <w:t>54</w:t>
      </w:r>
      <w:r>
        <w:fldChar w:fldCharType="end"/>
      </w:r>
      <w:r>
        <w:fldChar w:fldCharType="end"/>
      </w:r>
    </w:p>
    <w:p>
      <w:pPr>
        <w:pStyle w:val="28"/>
        <w:rPr>
          <w:rFonts w:ascii="Calibri" w:hAnsi="Calibri" w:cs="Calibri"/>
          <w:kern w:val="2"/>
          <w:sz w:val="21"/>
          <w:szCs w:val="21"/>
        </w:rPr>
      </w:pPr>
      <w:r>
        <w:fldChar w:fldCharType="begin"/>
      </w:r>
      <w:r>
        <w:instrText xml:space="preserve"> HYPERLINK \l "_Toc1429187" </w:instrText>
      </w:r>
      <w:r>
        <w:fldChar w:fldCharType="separate"/>
      </w:r>
      <w:r>
        <w:rPr>
          <w:rStyle w:val="33"/>
          <w:rFonts w:ascii="宋体" w:hAnsi="宋体" w:cs="宋体"/>
        </w:rPr>
        <w:t>5.1</w:t>
      </w:r>
      <w:r>
        <w:rPr>
          <w:rStyle w:val="33"/>
          <w:rFonts w:hint="eastAsia" w:ascii="宋体" w:hAnsi="宋体" w:cs="宋体"/>
        </w:rPr>
        <w:t>项目管理保障方案</w:t>
      </w:r>
      <w:r>
        <w:tab/>
      </w:r>
      <w:r>
        <w:fldChar w:fldCharType="begin"/>
      </w:r>
      <w:r>
        <w:instrText xml:space="preserve"> PAGEREF _Toc1429187 \h </w:instrText>
      </w:r>
      <w:r>
        <w:fldChar w:fldCharType="separate"/>
      </w:r>
      <w:r>
        <w:t>55</w:t>
      </w:r>
      <w:r>
        <w:fldChar w:fldCharType="end"/>
      </w:r>
      <w:r>
        <w:fldChar w:fldCharType="end"/>
      </w:r>
    </w:p>
    <w:p>
      <w:pPr>
        <w:pStyle w:val="28"/>
        <w:rPr>
          <w:rFonts w:ascii="Calibri" w:hAnsi="Calibri" w:cs="Calibri"/>
          <w:kern w:val="2"/>
          <w:sz w:val="21"/>
          <w:szCs w:val="21"/>
        </w:rPr>
      </w:pPr>
      <w:r>
        <w:fldChar w:fldCharType="begin"/>
      </w:r>
      <w:r>
        <w:instrText xml:space="preserve"> HYPERLINK \l "_Toc1429188" </w:instrText>
      </w:r>
      <w:r>
        <w:fldChar w:fldCharType="separate"/>
      </w:r>
      <w:r>
        <w:rPr>
          <w:rStyle w:val="33"/>
          <w:rFonts w:ascii="宋体" w:hAnsi="宋体" w:cs="宋体"/>
        </w:rPr>
        <w:t>5.2</w:t>
      </w:r>
      <w:r>
        <w:rPr>
          <w:rStyle w:val="33"/>
          <w:rFonts w:hint="eastAsia" w:ascii="宋体" w:hAnsi="宋体" w:cs="宋体"/>
        </w:rPr>
        <w:t>年度运维方案</w:t>
      </w:r>
      <w:r>
        <w:tab/>
      </w:r>
      <w:r>
        <w:fldChar w:fldCharType="begin"/>
      </w:r>
      <w:r>
        <w:instrText xml:space="preserve"> PAGEREF _Toc1429188 \h </w:instrText>
      </w:r>
      <w:r>
        <w:fldChar w:fldCharType="separate"/>
      </w:r>
      <w:r>
        <w:t>55</w:t>
      </w:r>
      <w:r>
        <w:fldChar w:fldCharType="end"/>
      </w:r>
      <w:r>
        <w:fldChar w:fldCharType="end"/>
      </w:r>
    </w:p>
    <w:p>
      <w:pPr>
        <w:pStyle w:val="28"/>
        <w:rPr>
          <w:rFonts w:ascii="Calibri" w:hAnsi="Calibri" w:cs="Calibri"/>
          <w:kern w:val="2"/>
          <w:sz w:val="21"/>
          <w:szCs w:val="21"/>
        </w:rPr>
      </w:pPr>
      <w:r>
        <w:fldChar w:fldCharType="begin"/>
      </w:r>
      <w:r>
        <w:instrText xml:space="preserve"> HYPERLINK \l "_Toc1429189" </w:instrText>
      </w:r>
      <w:r>
        <w:fldChar w:fldCharType="separate"/>
      </w:r>
      <w:r>
        <w:rPr>
          <w:rStyle w:val="33"/>
          <w:rFonts w:ascii="宋体" w:hAnsi="宋体" w:cs="宋体"/>
        </w:rPr>
        <w:t>5.3</w:t>
      </w:r>
      <w:r>
        <w:rPr>
          <w:rStyle w:val="33"/>
          <w:rFonts w:hint="eastAsia" w:ascii="宋体" w:hAnsi="宋体" w:cs="宋体"/>
        </w:rPr>
        <w:t>运维人员工作内容与职责</w:t>
      </w:r>
      <w:r>
        <w:tab/>
      </w:r>
      <w:r>
        <w:fldChar w:fldCharType="begin"/>
      </w:r>
      <w:r>
        <w:instrText xml:space="preserve"> PAGEREF _Toc1429189 \h </w:instrText>
      </w:r>
      <w:r>
        <w:fldChar w:fldCharType="separate"/>
      </w:r>
      <w:r>
        <w:t>55</w:t>
      </w:r>
      <w:r>
        <w:fldChar w:fldCharType="end"/>
      </w:r>
      <w:r>
        <w:fldChar w:fldCharType="end"/>
      </w:r>
    </w:p>
    <w:p>
      <w:pPr>
        <w:pStyle w:val="28"/>
        <w:rPr>
          <w:rFonts w:ascii="Calibri" w:hAnsi="Calibri" w:cs="Calibri"/>
          <w:kern w:val="2"/>
          <w:sz w:val="21"/>
          <w:szCs w:val="21"/>
        </w:rPr>
      </w:pPr>
      <w:r>
        <w:fldChar w:fldCharType="begin"/>
      </w:r>
      <w:r>
        <w:instrText xml:space="preserve"> HYPERLINK \l "_Toc1429190" </w:instrText>
      </w:r>
      <w:r>
        <w:fldChar w:fldCharType="separate"/>
      </w:r>
      <w:r>
        <w:rPr>
          <w:rStyle w:val="33"/>
          <w:rFonts w:ascii="宋体" w:hAnsi="宋体" w:cs="宋体"/>
        </w:rPr>
        <w:t>5.4</w:t>
      </w:r>
      <w:r>
        <w:rPr>
          <w:rStyle w:val="33"/>
          <w:rFonts w:hint="eastAsia" w:ascii="宋体" w:hAnsi="宋体" w:cs="宋体"/>
        </w:rPr>
        <w:t>迁移方案</w:t>
      </w:r>
      <w:r>
        <w:tab/>
      </w:r>
      <w:r>
        <w:fldChar w:fldCharType="begin"/>
      </w:r>
      <w:r>
        <w:instrText xml:space="preserve"> PAGEREF _Toc1429190 \h </w:instrText>
      </w:r>
      <w:r>
        <w:fldChar w:fldCharType="separate"/>
      </w:r>
      <w:r>
        <w:t>55</w:t>
      </w:r>
      <w:r>
        <w:fldChar w:fldCharType="end"/>
      </w:r>
      <w:r>
        <w:fldChar w:fldCharType="end"/>
      </w:r>
    </w:p>
    <w:p>
      <w:pPr>
        <w:pStyle w:val="28"/>
        <w:rPr>
          <w:rFonts w:ascii="Calibri" w:hAnsi="Calibri" w:cs="Calibri"/>
          <w:kern w:val="2"/>
          <w:sz w:val="21"/>
          <w:szCs w:val="21"/>
        </w:rPr>
      </w:pPr>
      <w:r>
        <w:fldChar w:fldCharType="begin"/>
      </w:r>
      <w:r>
        <w:instrText xml:space="preserve"> HYPERLINK \l "_Toc1429191" </w:instrText>
      </w:r>
      <w:r>
        <w:fldChar w:fldCharType="separate"/>
      </w:r>
      <w:r>
        <w:rPr>
          <w:rStyle w:val="33"/>
          <w:rFonts w:ascii="宋体" w:hAnsi="宋体" w:cs="宋体"/>
        </w:rPr>
        <w:t>5.5</w:t>
      </w:r>
      <w:r>
        <w:rPr>
          <w:rStyle w:val="33"/>
          <w:rFonts w:hint="eastAsia" w:ascii="宋体" w:hAnsi="宋体" w:cs="宋体"/>
        </w:rPr>
        <w:t>服务承诺</w:t>
      </w:r>
      <w:r>
        <w:tab/>
      </w:r>
      <w:r>
        <w:fldChar w:fldCharType="begin"/>
      </w:r>
      <w:r>
        <w:instrText xml:space="preserve"> PAGEREF _Toc1429191 \h </w:instrText>
      </w:r>
      <w:r>
        <w:fldChar w:fldCharType="separate"/>
      </w:r>
      <w:r>
        <w:t>56</w:t>
      </w:r>
      <w:r>
        <w:fldChar w:fldCharType="end"/>
      </w:r>
      <w:r>
        <w:fldChar w:fldCharType="end"/>
      </w:r>
    </w:p>
    <w:p>
      <w:r>
        <w:rPr>
          <w:rStyle w:val="33"/>
          <w:color w:val="auto"/>
        </w:rPr>
        <w:fldChar w:fldCharType="end"/>
      </w:r>
      <w:r>
        <w:br w:type="page"/>
      </w:r>
    </w:p>
    <w:p>
      <w:pPr>
        <w:pStyle w:val="2"/>
        <w:numPr>
          <w:ilvl w:val="0"/>
          <w:numId w:val="0"/>
        </w:numPr>
        <w:spacing w:before="0" w:after="0" w:line="360" w:lineRule="auto"/>
        <w:jc w:val="center"/>
        <w:rPr>
          <w:rFonts w:ascii="宋体"/>
          <w:sz w:val="32"/>
          <w:szCs w:val="32"/>
        </w:rPr>
      </w:pPr>
      <w:bookmarkStart w:id="0" w:name="_Toc414523489"/>
      <w:bookmarkStart w:id="1" w:name="_Toc1429133"/>
      <w:r>
        <w:rPr>
          <w:rFonts w:hint="eastAsia" w:ascii="宋体" w:hAnsi="宋体" w:cs="宋体"/>
          <w:sz w:val="32"/>
          <w:szCs w:val="32"/>
        </w:rPr>
        <w:t>第一部分</w:t>
      </w:r>
      <w:r>
        <w:rPr>
          <w:rFonts w:ascii="宋体" w:hAnsi="宋体" w:cs="宋体"/>
          <w:sz w:val="32"/>
          <w:szCs w:val="32"/>
        </w:rPr>
        <w:t xml:space="preserve">  </w:t>
      </w:r>
      <w:r>
        <w:rPr>
          <w:rFonts w:hint="eastAsia" w:ascii="宋体" w:hAnsi="宋体" w:cs="宋体"/>
          <w:sz w:val="32"/>
          <w:szCs w:val="32"/>
        </w:rPr>
        <w:t>投标邀请</w:t>
      </w:r>
      <w:bookmarkEnd w:id="0"/>
      <w:bookmarkEnd w:id="1"/>
    </w:p>
    <w:p>
      <w:pPr>
        <w:spacing w:line="360" w:lineRule="auto"/>
        <w:ind w:firstLine="600" w:firstLineChars="200"/>
        <w:rPr>
          <w:rFonts w:ascii="宋体"/>
          <w:sz w:val="30"/>
          <w:szCs w:val="30"/>
          <w:shd w:val="pct10" w:color="auto" w:fill="FFFFFF"/>
        </w:rPr>
      </w:pPr>
    </w:p>
    <w:p>
      <w:r>
        <w:rPr>
          <w:rFonts w:hint="eastAsia" w:ascii="宋体" w:hAnsi="宋体" w:cs="宋体"/>
        </w:rPr>
        <w:t>甘肃警察职业学院对本院</w:t>
      </w:r>
      <w:r>
        <w:rPr>
          <w:rFonts w:hint="eastAsia" w:cs="宋体"/>
        </w:rPr>
        <w:t>“</w:t>
      </w:r>
      <w:r>
        <w:rPr>
          <w:rFonts w:hint="eastAsia" w:ascii="宋体" w:hAnsi="宋体" w:cs="宋体"/>
        </w:rPr>
        <w:t>信息化运维服务外包项目</w:t>
      </w:r>
      <w:r>
        <w:rPr>
          <w:rFonts w:hint="eastAsia" w:cs="宋体"/>
        </w:rPr>
        <w:t>”进行公开招标采购，根据《政府采购法》的有关规定特制定本文件。现邀请合格投标人提交密封投标文件。</w:t>
      </w:r>
    </w:p>
    <w:p>
      <w:pPr>
        <w:rPr>
          <w:u w:val="single"/>
        </w:rPr>
      </w:pPr>
      <w:r>
        <w:rPr>
          <w:rFonts w:hint="eastAsia" w:cs="宋体"/>
        </w:rPr>
        <w:t>一、项目编号：</w:t>
      </w:r>
    </w:p>
    <w:p>
      <w:r>
        <w:rPr>
          <w:rFonts w:hint="eastAsia" w:cs="宋体"/>
        </w:rPr>
        <w:t>二、项目名称：</w:t>
      </w:r>
      <w:r>
        <w:rPr>
          <w:rFonts w:hint="eastAsia" w:ascii="宋体" w:hAnsi="宋体" w:cs="宋体"/>
        </w:rPr>
        <w:t>甘肃警察职业学院信息化运维服务外包项目</w:t>
      </w:r>
    </w:p>
    <w:p>
      <w:r>
        <w:rPr>
          <w:rFonts w:hint="eastAsia" w:cs="宋体"/>
        </w:rPr>
        <w:t>三、招标内容：</w:t>
      </w:r>
    </w:p>
    <w:p>
      <w:pPr>
        <w:ind w:firstLine="480" w:firstLineChars="200"/>
      </w:pPr>
      <w:r>
        <w:rPr>
          <w:rFonts w:hint="eastAsia" w:ascii="宋体" w:hAnsi="宋体" w:cs="宋体"/>
          <w:u w:val="single"/>
        </w:rPr>
        <w:t>甘肃警察职业学院信息化运维服务外包项目</w:t>
      </w:r>
      <w:r>
        <w:rPr>
          <w:rFonts w:hint="eastAsia" w:ascii="宋体" w:hAnsi="宋体" w:cs="宋体"/>
        </w:rPr>
        <w:t>。</w:t>
      </w:r>
    </w:p>
    <w:p>
      <w:r>
        <w:t xml:space="preserve">    </w:t>
      </w:r>
      <w:r>
        <w:rPr>
          <w:rFonts w:hint="eastAsia" w:cs="宋体"/>
        </w:rPr>
        <w:t>项目预算：</w:t>
      </w:r>
      <w:r>
        <w:rPr>
          <w:rFonts w:ascii="宋体" w:hAnsi="宋体" w:cs="宋体"/>
          <w:u w:val="single"/>
        </w:rPr>
        <w:t xml:space="preserve"> 23</w:t>
      </w:r>
      <w:r>
        <w:rPr>
          <w:rFonts w:hint="eastAsia" w:cs="宋体"/>
        </w:rPr>
        <w:t>万元，超过项目预算的投标报价将被视为无效报价。</w:t>
      </w:r>
    </w:p>
    <w:p>
      <w:r>
        <w:rPr>
          <w:rFonts w:hint="eastAsia" w:cs="宋体"/>
        </w:rPr>
        <w:t>四、投标人资质要求</w:t>
      </w:r>
    </w:p>
    <w:p>
      <w:pPr>
        <w:ind w:firstLine="480" w:firstLineChars="200"/>
      </w:pPr>
      <w:r>
        <w:t>1</w:t>
      </w:r>
      <w:r>
        <w:rPr>
          <w:rFonts w:hint="eastAsia" w:cs="宋体"/>
        </w:rPr>
        <w:t>、所有投标人必须具备《政府采购法》第二十二条规定的条件：</w:t>
      </w:r>
    </w:p>
    <w:p>
      <w:r>
        <w:t xml:space="preserve">      1</w:t>
      </w:r>
      <w:r>
        <w:rPr>
          <w:rFonts w:hint="eastAsia" w:cs="宋体"/>
        </w:rPr>
        <w:t>）具有独立承担民事责任的能力；</w:t>
      </w:r>
    </w:p>
    <w:p>
      <w:r>
        <w:t xml:space="preserve">      2</w:t>
      </w:r>
      <w:r>
        <w:rPr>
          <w:rFonts w:hint="eastAsia" w:cs="宋体"/>
        </w:rPr>
        <w:t>）具有良好的商业信誉和健全的财务会计制度；</w:t>
      </w:r>
    </w:p>
    <w:p>
      <w:r>
        <w:t xml:space="preserve">      3</w:t>
      </w:r>
      <w:r>
        <w:rPr>
          <w:rFonts w:hint="eastAsia" w:cs="宋体"/>
        </w:rPr>
        <w:t>）具有履行合同所必需的设备和专业技术能力；</w:t>
      </w:r>
    </w:p>
    <w:p>
      <w:r>
        <w:t xml:space="preserve">      4</w:t>
      </w:r>
      <w:r>
        <w:rPr>
          <w:rFonts w:hint="eastAsia" w:cs="宋体"/>
        </w:rPr>
        <w:t>）有依法缴纳税收和社会保障资金的良好记录；</w:t>
      </w:r>
    </w:p>
    <w:p>
      <w:r>
        <w:t xml:space="preserve">      5</w:t>
      </w:r>
      <w:r>
        <w:rPr>
          <w:rFonts w:hint="eastAsia" w:cs="宋体"/>
        </w:rPr>
        <w:t>）参加政府采购活动前三年内，在经营活动中没有重大违法记录；</w:t>
      </w:r>
    </w:p>
    <w:p>
      <w:r>
        <w:t xml:space="preserve">      6</w:t>
      </w:r>
      <w:r>
        <w:rPr>
          <w:rFonts w:hint="eastAsia" w:cs="宋体"/>
        </w:rPr>
        <w:t>）法律、行政法规规定的其他条件。</w:t>
      </w:r>
    </w:p>
    <w:p>
      <w:pPr>
        <w:ind w:firstLine="480" w:firstLineChars="200"/>
      </w:pPr>
      <w:r>
        <w:t>2</w:t>
      </w:r>
      <w:r>
        <w:rPr>
          <w:rFonts w:hint="eastAsia" w:cs="宋体"/>
        </w:rPr>
        <w:t>、</w:t>
      </w:r>
      <w:r>
        <w:rPr>
          <w:rFonts w:hint="eastAsia" w:ascii="宋体" w:hAnsi="宋体" w:cs="宋体"/>
        </w:rPr>
        <w:t>在兰州市设有固定的经营场所，且能够提供兰州市的本地化技术支持</w:t>
      </w:r>
      <w:r>
        <w:rPr>
          <w:rFonts w:hint="eastAsia" w:cs="宋体"/>
        </w:rPr>
        <w:t>；</w:t>
      </w:r>
    </w:p>
    <w:p>
      <w:pPr>
        <w:ind w:firstLine="480" w:firstLineChars="200"/>
      </w:pPr>
      <w:r>
        <w:t>3</w:t>
      </w:r>
      <w:r>
        <w:rPr>
          <w:rFonts w:hint="eastAsia" w:cs="宋体"/>
        </w:rPr>
        <w:t>、</w:t>
      </w:r>
      <w:r>
        <w:rPr>
          <w:rFonts w:hint="eastAsia" w:ascii="Arial" w:hAnsi="Arial" w:cs="宋体"/>
        </w:rPr>
        <w:t>具有系统集成资质或者运维资质；</w:t>
      </w:r>
    </w:p>
    <w:p>
      <w:pPr>
        <w:ind w:firstLine="480" w:firstLineChars="200"/>
      </w:pPr>
      <w:r>
        <w:t>4</w:t>
      </w:r>
      <w:r>
        <w:rPr>
          <w:rFonts w:hint="eastAsia" w:cs="宋体"/>
        </w:rPr>
        <w:t>、中标后中标人不得分包或转包项目；</w:t>
      </w:r>
    </w:p>
    <w:p>
      <w:pPr>
        <w:ind w:firstLine="480" w:firstLineChars="200"/>
      </w:pPr>
      <w:r>
        <w:t>5</w:t>
      </w:r>
      <w:r>
        <w:rPr>
          <w:rFonts w:hint="eastAsia" w:cs="宋体"/>
        </w:rPr>
        <w:t>、本项目不接受联合体投标。</w:t>
      </w:r>
    </w:p>
    <w:p>
      <w:r>
        <w:rPr>
          <w:rFonts w:hint="eastAsia" w:cs="宋体"/>
        </w:rPr>
        <w:t>五、领取招标文件须递交的资格文件：</w:t>
      </w:r>
    </w:p>
    <w:p>
      <w:pPr>
        <w:ind w:firstLine="480" w:firstLineChars="200"/>
      </w:pPr>
      <w:r>
        <w:t>1</w:t>
      </w:r>
      <w:r>
        <w:rPr>
          <w:rFonts w:hint="eastAsia" w:cs="宋体"/>
        </w:rPr>
        <w:t>、营业执照（副本复印件加盖投标人公章）；</w:t>
      </w:r>
      <w:r>
        <w:t xml:space="preserve"> </w:t>
      </w:r>
    </w:p>
    <w:p>
      <w:r>
        <w:t xml:space="preserve">    2</w:t>
      </w:r>
      <w:r>
        <w:rPr>
          <w:rFonts w:hint="eastAsia" w:cs="宋体"/>
        </w:rPr>
        <w:t>、法人授权委托书（格式自拟，附被授权人身份证复印件）；</w:t>
      </w:r>
    </w:p>
    <w:p>
      <w:pPr>
        <w:ind w:firstLine="480" w:firstLineChars="200"/>
      </w:pPr>
      <w:r>
        <w:t>3</w:t>
      </w:r>
      <w:r>
        <w:rPr>
          <w:rFonts w:hint="eastAsia" w:cs="宋体"/>
        </w:rPr>
        <w:t>、具有</w:t>
      </w:r>
      <w:r>
        <w:rPr>
          <w:rFonts w:hint="eastAsia" w:ascii="Arial" w:hAnsi="Arial" w:cs="宋体"/>
        </w:rPr>
        <w:t>系统集成资质或者运维资质</w:t>
      </w:r>
      <w:r>
        <w:rPr>
          <w:rFonts w:hint="eastAsia" w:cs="宋体"/>
        </w:rPr>
        <w:t>（复印件加盖投标人公章）；</w:t>
      </w:r>
    </w:p>
    <w:p>
      <w:r>
        <w:t xml:space="preserve">    </w:t>
      </w:r>
      <w:r>
        <w:rPr>
          <w:rFonts w:hint="eastAsia" w:cs="宋体"/>
        </w:rPr>
        <w:t>以上文件均须</w:t>
      </w:r>
      <w:r>
        <w:t>1</w:t>
      </w:r>
      <w:r>
        <w:rPr>
          <w:rFonts w:hint="eastAsia" w:cs="宋体"/>
        </w:rPr>
        <w:t>份，未递交资格文件或资格文件不符合要求的投标人将不予查阅和领取招标文件。</w:t>
      </w:r>
    </w:p>
    <w:p>
      <w:r>
        <w:rPr>
          <w:rFonts w:hint="eastAsia" w:cs="宋体"/>
        </w:rPr>
        <w:t>六、招标文件领取时间、地点和办法：</w:t>
      </w:r>
    </w:p>
    <w:p>
      <w:r>
        <w:t xml:space="preserve">    </w:t>
      </w:r>
      <w:r>
        <w:rPr>
          <w:rFonts w:hint="eastAsia" w:cs="宋体"/>
        </w:rPr>
        <w:t>招标文件自行前往甘肃警察职业学院官方网站进行下载</w:t>
      </w:r>
    </w:p>
    <w:p>
      <w:r>
        <w:t xml:space="preserve">    </w:t>
      </w:r>
      <w:r>
        <w:rPr>
          <w:rFonts w:hint="eastAsia" w:cs="宋体"/>
        </w:rPr>
        <w:t>开标时间：由甘肃警察职业学院招标采购办公室进行电话通知</w:t>
      </w:r>
    </w:p>
    <w:p>
      <w:r>
        <w:rPr>
          <w:rFonts w:hint="eastAsia" w:cs="宋体"/>
        </w:rPr>
        <w:t>八、投标地点及开标地点：</w:t>
      </w:r>
    </w:p>
    <w:p>
      <w:pPr>
        <w:ind w:firstLine="480" w:firstLineChars="200"/>
      </w:pPr>
      <w:r>
        <w:rPr>
          <w:rFonts w:hint="eastAsia" w:cs="宋体"/>
        </w:rPr>
        <w:t>兰州市城关区大砂坪左家湾</w:t>
      </w:r>
      <w:r>
        <w:t>169</w:t>
      </w:r>
      <w:r>
        <w:rPr>
          <w:rFonts w:hint="eastAsia" w:cs="宋体"/>
        </w:rPr>
        <w:t>号，届时请投标人的法定代表人或其授权的投标人代表（携带法人代表授权书）出席开标仪式。</w:t>
      </w:r>
      <w:r>
        <w:t xml:space="preserve"> </w:t>
      </w:r>
      <w:r>
        <w:rPr>
          <w:rFonts w:hint="eastAsia" w:cs="宋体"/>
        </w:rPr>
        <w:t>逾期递交的投标文件将不被接受。</w:t>
      </w:r>
    </w:p>
    <w:p>
      <w:r>
        <w:rPr>
          <w:rFonts w:hint="eastAsia" w:cs="宋体"/>
        </w:rPr>
        <w:t>九、采购人相关信息</w:t>
      </w:r>
    </w:p>
    <w:p>
      <w:pPr>
        <w:ind w:firstLine="480" w:firstLineChars="200"/>
        <w:rPr>
          <w:rFonts w:ascii="Arial" w:hAnsi="Arial" w:cs="Arial"/>
        </w:rPr>
      </w:pPr>
      <w:r>
        <w:rPr>
          <w:rFonts w:hint="eastAsia" w:cs="宋体"/>
        </w:rPr>
        <w:t>地址：</w:t>
      </w:r>
      <w:r>
        <w:rPr>
          <w:rFonts w:hint="eastAsia" w:ascii="Arial" w:hAnsi="Arial" w:cs="宋体"/>
        </w:rPr>
        <w:t>甘肃警察职业学院招标采购办公室（皋兰县魏家庄校区西教学楼</w:t>
      </w:r>
      <w:r>
        <w:rPr>
          <w:rFonts w:ascii="Arial" w:hAnsi="Arial" w:cs="Arial"/>
        </w:rPr>
        <w:t>308</w:t>
      </w:r>
      <w:r>
        <w:rPr>
          <w:rFonts w:hint="eastAsia" w:ascii="Arial" w:hAnsi="Arial" w:cs="宋体"/>
        </w:rPr>
        <w:t>）</w:t>
      </w:r>
    </w:p>
    <w:p>
      <w:r>
        <w:t xml:space="preserve">    </w:t>
      </w:r>
      <w:r>
        <w:rPr>
          <w:rFonts w:hint="eastAsia" w:cs="宋体"/>
        </w:rPr>
        <w:t>联</w:t>
      </w:r>
      <w:r>
        <w:t xml:space="preserve"> </w:t>
      </w:r>
      <w:r>
        <w:rPr>
          <w:rFonts w:hint="eastAsia" w:cs="宋体"/>
        </w:rPr>
        <w:t>系</w:t>
      </w:r>
      <w:r>
        <w:t xml:space="preserve"> </w:t>
      </w:r>
      <w:r>
        <w:rPr>
          <w:rFonts w:hint="eastAsia" w:cs="宋体"/>
        </w:rPr>
        <w:t>人：魏主任</w:t>
      </w:r>
      <w:r>
        <w:t xml:space="preserve"> </w:t>
      </w:r>
      <w:r>
        <w:rPr>
          <w:rFonts w:hint="eastAsia" w:cs="宋体"/>
        </w:rPr>
        <w:t>联系电话：</w:t>
      </w:r>
      <w:r>
        <w:t>13919852157</w:t>
      </w:r>
    </w:p>
    <w:p>
      <w:r>
        <w:rPr>
          <w:rFonts w:hint="eastAsia" w:cs="宋体"/>
        </w:rPr>
        <w:t>十、招标人相关信息</w:t>
      </w:r>
    </w:p>
    <w:p>
      <w:pPr>
        <w:ind w:firstLine="480" w:firstLineChars="200"/>
      </w:pPr>
      <w:r>
        <w:rPr>
          <w:rFonts w:hint="eastAsia" w:cs="宋体"/>
        </w:rPr>
        <w:t>地址：甘肃警察职业学院招标采购办公室（皋兰县魏家庄校区西教学楼</w:t>
      </w:r>
      <w:r>
        <w:t>308</w:t>
      </w:r>
      <w:r>
        <w:rPr>
          <w:rFonts w:hint="eastAsia" w:cs="宋体"/>
        </w:rPr>
        <w:t>）</w:t>
      </w:r>
      <w:r>
        <w:t xml:space="preserve">   </w:t>
      </w:r>
    </w:p>
    <w:p>
      <w:pPr>
        <w:ind w:firstLine="480" w:firstLineChars="200"/>
      </w:pPr>
      <w:r>
        <w:rPr>
          <w:rFonts w:hint="eastAsia" w:cs="宋体"/>
        </w:rPr>
        <w:t>邮政编码：</w:t>
      </w:r>
    </w:p>
    <w:p>
      <w:pPr>
        <w:ind w:firstLine="480" w:firstLineChars="200"/>
        <w:rPr>
          <w:u w:val="single"/>
        </w:rPr>
      </w:pPr>
      <w:r>
        <w:rPr>
          <w:rFonts w:hint="eastAsia" w:cs="宋体"/>
        </w:rPr>
        <w:t>电　　话：</w:t>
      </w:r>
      <w:r>
        <w:t xml:space="preserve">  </w:t>
      </w:r>
      <w:r>
        <w:rPr>
          <w:rFonts w:hint="eastAsia" w:cs="宋体"/>
        </w:rPr>
        <w:t>传　　真：</w:t>
      </w:r>
    </w:p>
    <w:p>
      <w:pPr>
        <w:ind w:firstLine="480" w:firstLineChars="200"/>
      </w:pPr>
      <w:r>
        <w:rPr>
          <w:rFonts w:hint="eastAsia" w:cs="宋体"/>
        </w:rPr>
        <w:t>联</w:t>
      </w:r>
      <w:r>
        <w:t xml:space="preserve"> </w:t>
      </w:r>
      <w:r>
        <w:rPr>
          <w:rFonts w:hint="eastAsia" w:cs="宋体"/>
        </w:rPr>
        <w:t>系</w:t>
      </w:r>
      <w:r>
        <w:t xml:space="preserve"> </w:t>
      </w:r>
      <w:r>
        <w:rPr>
          <w:rFonts w:hint="eastAsia" w:cs="宋体"/>
        </w:rPr>
        <w:t>人：魏主任</w:t>
      </w:r>
      <w:r>
        <w:t xml:space="preserve"> </w:t>
      </w:r>
      <w:r>
        <w:rPr>
          <w:rFonts w:hint="eastAsia" w:cs="宋体"/>
        </w:rPr>
        <w:t>联系电话：</w:t>
      </w:r>
      <w:r>
        <w:t>13919852157</w:t>
      </w:r>
    </w:p>
    <w:p>
      <w:pPr>
        <w:ind w:firstLine="480" w:firstLineChars="200"/>
      </w:pPr>
      <w:r>
        <w:rPr>
          <w:rFonts w:hint="eastAsia" w:cs="宋体"/>
        </w:rPr>
        <w:t>开户银行及账号：</w:t>
      </w:r>
    </w:p>
    <w:p>
      <w:pPr>
        <w:ind w:firstLine="480" w:firstLineChars="200"/>
      </w:pPr>
      <w:r>
        <w:rPr>
          <w:rFonts w:hint="eastAsia" w:cs="宋体"/>
        </w:rPr>
        <w:t>户名：甘肃警察职业学院</w:t>
      </w:r>
      <w:r>
        <w:br w:type="textWrapping"/>
      </w:r>
      <w:r>
        <w:t xml:space="preserve">    </w:t>
      </w:r>
      <w:r>
        <w:rPr>
          <w:rFonts w:hint="eastAsia" w:cs="宋体"/>
        </w:rPr>
        <w:t>开户银行：</w:t>
      </w:r>
      <w:r>
        <w:t xml:space="preserve"> </w:t>
      </w:r>
      <w:r>
        <w:br w:type="textWrapping"/>
      </w:r>
      <w:r>
        <w:t xml:space="preserve">    </w:t>
      </w:r>
      <w:r>
        <w:rPr>
          <w:rFonts w:hint="eastAsia" w:cs="宋体"/>
        </w:rPr>
        <w:t>账号：</w:t>
      </w:r>
    </w:p>
    <w:p/>
    <w:p>
      <w:pPr>
        <w:ind w:firstLine="480" w:firstLineChars="200"/>
      </w:pPr>
    </w:p>
    <w:p>
      <w:pPr>
        <w:rPr>
          <w:rFonts w:ascii="宋体"/>
        </w:rPr>
      </w:pPr>
      <w:bookmarkStart w:id="2" w:name="_Toc146597844"/>
      <w:r>
        <w:rPr>
          <w:sz w:val="30"/>
          <w:szCs w:val="30"/>
        </w:rPr>
        <w:br w:type="page"/>
      </w:r>
    </w:p>
    <w:p>
      <w:pPr>
        <w:pStyle w:val="2"/>
        <w:numPr>
          <w:ilvl w:val="0"/>
          <w:numId w:val="0"/>
        </w:numPr>
        <w:spacing w:before="0" w:after="0" w:line="360" w:lineRule="auto"/>
        <w:jc w:val="center"/>
        <w:rPr>
          <w:rFonts w:ascii="宋体"/>
          <w:sz w:val="32"/>
          <w:szCs w:val="32"/>
        </w:rPr>
      </w:pPr>
      <w:bookmarkStart w:id="3" w:name="_Toc1429134"/>
      <w:r>
        <w:rPr>
          <w:rFonts w:hint="eastAsia" w:ascii="宋体" w:hAnsi="宋体" w:cs="宋体"/>
          <w:sz w:val="32"/>
          <w:szCs w:val="32"/>
        </w:rPr>
        <w:t>第二部分</w:t>
      </w:r>
      <w:r>
        <w:rPr>
          <w:rFonts w:ascii="宋体" w:hAnsi="宋体" w:cs="宋体"/>
          <w:sz w:val="32"/>
          <w:szCs w:val="32"/>
        </w:rPr>
        <w:t xml:space="preserve">  </w:t>
      </w:r>
      <w:r>
        <w:rPr>
          <w:rFonts w:hint="eastAsia" w:ascii="宋体" w:hAnsi="宋体" w:cs="宋体"/>
          <w:sz w:val="32"/>
          <w:szCs w:val="32"/>
        </w:rPr>
        <w:t>投标人须知前附表</w:t>
      </w:r>
      <w:bookmarkEnd w:id="2"/>
      <w:bookmarkEnd w:id="3"/>
    </w:p>
    <w:p>
      <w:pPr>
        <w:rPr>
          <w:sz w:val="28"/>
          <w:szCs w:val="28"/>
        </w:rPr>
      </w:pPr>
    </w:p>
    <w:tbl>
      <w:tblPr>
        <w:tblStyle w:val="34"/>
        <w:tblW w:w="895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8"/>
        <w:gridCol w:w="973"/>
        <w:gridCol w:w="2512"/>
        <w:gridCol w:w="4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8" w:type="dxa"/>
            <w:vAlign w:val="center"/>
          </w:tcPr>
          <w:p>
            <w:pPr>
              <w:spacing w:line="340" w:lineRule="exact"/>
              <w:jc w:val="center"/>
              <w:rPr>
                <w:rFonts w:ascii="宋体"/>
              </w:rPr>
            </w:pPr>
            <w:r>
              <w:rPr>
                <w:rFonts w:hint="eastAsia" w:ascii="宋体" w:hAnsi="宋体" w:cs="宋体"/>
              </w:rPr>
              <w:t>序号</w:t>
            </w:r>
          </w:p>
        </w:tc>
        <w:tc>
          <w:tcPr>
            <w:tcW w:w="973" w:type="dxa"/>
            <w:vAlign w:val="center"/>
          </w:tcPr>
          <w:p>
            <w:pPr>
              <w:spacing w:line="340" w:lineRule="exact"/>
              <w:jc w:val="center"/>
              <w:rPr>
                <w:rFonts w:ascii="宋体"/>
              </w:rPr>
            </w:pPr>
            <w:r>
              <w:rPr>
                <w:rFonts w:hint="eastAsia" w:ascii="宋体" w:hAnsi="宋体" w:cs="宋体"/>
              </w:rPr>
              <w:t>对应</w:t>
            </w:r>
          </w:p>
          <w:p>
            <w:pPr>
              <w:spacing w:line="340" w:lineRule="exact"/>
              <w:jc w:val="center"/>
              <w:rPr>
                <w:rFonts w:ascii="宋体"/>
              </w:rPr>
            </w:pPr>
            <w:r>
              <w:rPr>
                <w:rFonts w:hint="eastAsia" w:ascii="宋体" w:hAnsi="宋体" w:cs="宋体"/>
              </w:rPr>
              <w:t>条款号</w:t>
            </w:r>
          </w:p>
        </w:tc>
        <w:tc>
          <w:tcPr>
            <w:tcW w:w="2512" w:type="dxa"/>
            <w:vAlign w:val="center"/>
          </w:tcPr>
          <w:p>
            <w:pPr>
              <w:spacing w:line="340" w:lineRule="exact"/>
              <w:jc w:val="center"/>
              <w:rPr>
                <w:rFonts w:ascii="宋体"/>
              </w:rPr>
            </w:pPr>
            <w:r>
              <w:rPr>
                <w:rFonts w:hint="eastAsia" w:ascii="宋体" w:hAnsi="宋体" w:cs="宋体"/>
              </w:rPr>
              <w:t>内容</w:t>
            </w:r>
          </w:p>
        </w:tc>
        <w:tc>
          <w:tcPr>
            <w:tcW w:w="4844" w:type="dxa"/>
            <w:vAlign w:val="center"/>
          </w:tcPr>
          <w:p>
            <w:pPr>
              <w:spacing w:line="340" w:lineRule="exact"/>
              <w:jc w:val="center"/>
              <w:rPr>
                <w:rFonts w:ascii="宋体"/>
              </w:rPr>
            </w:pPr>
            <w:r>
              <w:rPr>
                <w:rFonts w:hint="eastAsia" w:ascii="宋体" w:hAnsi="宋体" w:cs="宋体"/>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628" w:type="dxa"/>
            <w:vAlign w:val="center"/>
          </w:tcPr>
          <w:p>
            <w:pPr>
              <w:spacing w:line="340" w:lineRule="exact"/>
              <w:jc w:val="center"/>
              <w:rPr>
                <w:rFonts w:ascii="宋体"/>
              </w:rPr>
            </w:pPr>
            <w:r>
              <w:rPr>
                <w:rFonts w:ascii="宋体" w:hAnsi="宋体" w:cs="宋体"/>
              </w:rPr>
              <w:t>1</w:t>
            </w:r>
          </w:p>
        </w:tc>
        <w:tc>
          <w:tcPr>
            <w:tcW w:w="973" w:type="dxa"/>
            <w:vAlign w:val="center"/>
          </w:tcPr>
          <w:p>
            <w:pPr>
              <w:spacing w:line="340" w:lineRule="exact"/>
              <w:jc w:val="center"/>
              <w:rPr>
                <w:rFonts w:ascii="宋体"/>
              </w:rPr>
            </w:pPr>
            <w:r>
              <w:rPr>
                <w:rFonts w:ascii="宋体" w:hAnsi="宋体" w:cs="宋体"/>
              </w:rPr>
              <w:t>1.1</w:t>
            </w:r>
          </w:p>
        </w:tc>
        <w:tc>
          <w:tcPr>
            <w:tcW w:w="2512" w:type="dxa"/>
            <w:vAlign w:val="center"/>
          </w:tcPr>
          <w:p>
            <w:pPr>
              <w:spacing w:line="340" w:lineRule="exact"/>
              <w:jc w:val="center"/>
              <w:rPr>
                <w:rFonts w:ascii="宋体"/>
              </w:rPr>
            </w:pPr>
            <w:r>
              <w:rPr>
                <w:rFonts w:hint="eastAsia" w:ascii="宋体" w:hAnsi="宋体" w:cs="宋体"/>
              </w:rPr>
              <w:t>采购人名称</w:t>
            </w:r>
          </w:p>
        </w:tc>
        <w:tc>
          <w:tcPr>
            <w:tcW w:w="4844" w:type="dxa"/>
            <w:vAlign w:val="center"/>
          </w:tcPr>
          <w:p>
            <w:pPr>
              <w:spacing w:line="340" w:lineRule="exact"/>
              <w:rPr>
                <w:rFonts w:ascii="宋体"/>
              </w:rPr>
            </w:pPr>
            <w:r>
              <w:rPr>
                <w:rFonts w:hint="eastAsia" w:ascii="宋体" w:hAnsi="宋体" w:cs="宋体"/>
              </w:rPr>
              <w:t>甘肃警察职业学院</w:t>
            </w:r>
          </w:p>
          <w:p>
            <w:pPr>
              <w:spacing w:line="340" w:lineRule="exact"/>
              <w:rPr>
                <w:rFonts w:ascii="宋体"/>
              </w:rPr>
            </w:pPr>
            <w:r>
              <w:rPr>
                <w:rFonts w:hint="eastAsia" w:ascii="Arial" w:hAnsi="Arial" w:cs="宋体"/>
              </w:rPr>
              <w:t>地点：甘肃警察职业学院招标采购办公室（皋兰县魏家庄校区西教学楼</w:t>
            </w:r>
            <w:r>
              <w:rPr>
                <w:rFonts w:ascii="Arial" w:hAnsi="Arial" w:cs="Arial"/>
              </w:rPr>
              <w:t>308</w:t>
            </w:r>
            <w:r>
              <w:rPr>
                <w:rFonts w:hint="eastAsia" w:ascii="Arial" w:hAnsi="Arial" w:cs="宋体"/>
              </w:rPr>
              <w:t>）</w:t>
            </w:r>
          </w:p>
          <w:p>
            <w:pPr>
              <w:spacing w:line="340" w:lineRule="exact"/>
              <w:jc w:val="both"/>
              <w:rPr>
                <w:rFonts w:ascii="宋体"/>
              </w:rPr>
            </w:pPr>
            <w:r>
              <w:rPr>
                <w:rFonts w:hint="eastAsia" w:cs="宋体"/>
              </w:rPr>
              <w:t>联</w:t>
            </w:r>
            <w:r>
              <w:t xml:space="preserve"> </w:t>
            </w:r>
            <w:r>
              <w:rPr>
                <w:rFonts w:hint="eastAsia" w:cs="宋体"/>
              </w:rPr>
              <w:t>系</w:t>
            </w:r>
            <w:r>
              <w:t xml:space="preserve"> </w:t>
            </w:r>
            <w:r>
              <w:rPr>
                <w:rFonts w:hint="eastAsia" w:cs="宋体"/>
              </w:rPr>
              <w:t>人：魏主任</w:t>
            </w:r>
            <w:r>
              <w:t xml:space="preserve"> </w:t>
            </w:r>
            <w:r>
              <w:rPr>
                <w:rFonts w:hint="eastAsia" w:cs="宋体"/>
              </w:rPr>
              <w:t>联系电话：</w:t>
            </w:r>
            <w:r>
              <w:t>13919852157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8" w:hRule="atLeast"/>
          <w:jc w:val="center"/>
        </w:trPr>
        <w:tc>
          <w:tcPr>
            <w:tcW w:w="628" w:type="dxa"/>
            <w:vAlign w:val="center"/>
          </w:tcPr>
          <w:p>
            <w:pPr>
              <w:spacing w:line="340" w:lineRule="exact"/>
              <w:jc w:val="center"/>
              <w:rPr>
                <w:rFonts w:ascii="宋体"/>
              </w:rPr>
            </w:pPr>
            <w:r>
              <w:rPr>
                <w:rFonts w:ascii="宋体" w:hAnsi="宋体" w:cs="宋体"/>
              </w:rPr>
              <w:t>2</w:t>
            </w:r>
          </w:p>
        </w:tc>
        <w:tc>
          <w:tcPr>
            <w:tcW w:w="973" w:type="dxa"/>
            <w:vAlign w:val="center"/>
          </w:tcPr>
          <w:p>
            <w:pPr>
              <w:spacing w:line="340" w:lineRule="exact"/>
              <w:jc w:val="center"/>
              <w:rPr>
                <w:rFonts w:ascii="宋体"/>
              </w:rPr>
            </w:pPr>
            <w:r>
              <w:rPr>
                <w:rFonts w:ascii="宋体" w:hAnsi="宋体" w:cs="宋体"/>
              </w:rPr>
              <w:t>2</w:t>
            </w:r>
          </w:p>
        </w:tc>
        <w:tc>
          <w:tcPr>
            <w:tcW w:w="2512" w:type="dxa"/>
            <w:vAlign w:val="center"/>
          </w:tcPr>
          <w:p>
            <w:pPr>
              <w:spacing w:line="340" w:lineRule="exact"/>
              <w:jc w:val="center"/>
              <w:rPr>
                <w:rFonts w:ascii="宋体"/>
              </w:rPr>
            </w:pPr>
            <w:r>
              <w:rPr>
                <w:rFonts w:hint="eastAsia" w:ascii="宋体" w:hAnsi="宋体" w:cs="宋体"/>
              </w:rPr>
              <w:t>投标人资质要求</w:t>
            </w:r>
          </w:p>
        </w:tc>
        <w:tc>
          <w:tcPr>
            <w:tcW w:w="4844" w:type="dxa"/>
            <w:vAlign w:val="center"/>
          </w:tcPr>
          <w:p>
            <w:pPr>
              <w:adjustRightInd/>
              <w:spacing w:line="240" w:lineRule="auto"/>
              <w:jc w:val="both"/>
              <w:textAlignment w:val="auto"/>
              <w:rPr>
                <w:rFonts w:ascii="宋体"/>
              </w:rPr>
            </w:pPr>
            <w:r>
              <w:rPr>
                <w:rFonts w:ascii="宋体" w:hAnsi="宋体" w:cs="宋体"/>
              </w:rPr>
              <w:t>1</w:t>
            </w:r>
            <w:r>
              <w:rPr>
                <w:rFonts w:hint="eastAsia" w:ascii="宋体" w:hAnsi="宋体" w:cs="宋体"/>
              </w:rPr>
              <w:t>、所有投标人必须具备《政府采购法》第二十二条规定的条件：</w:t>
            </w:r>
          </w:p>
          <w:p>
            <w:pPr>
              <w:adjustRightInd/>
              <w:spacing w:line="240" w:lineRule="auto"/>
              <w:jc w:val="both"/>
              <w:textAlignment w:val="auto"/>
              <w:rPr>
                <w:rFonts w:ascii="宋体"/>
              </w:rPr>
            </w:pPr>
            <w:r>
              <w:rPr>
                <w:rFonts w:ascii="宋体" w:hAnsi="宋体" w:cs="宋体"/>
              </w:rPr>
              <w:t xml:space="preserve">   1</w:t>
            </w:r>
            <w:r>
              <w:rPr>
                <w:rFonts w:hint="eastAsia" w:ascii="宋体" w:hAnsi="宋体" w:cs="宋体"/>
              </w:rPr>
              <w:t>）具有独立承担民事责任的能力；</w:t>
            </w:r>
          </w:p>
          <w:p>
            <w:pPr>
              <w:adjustRightInd/>
              <w:spacing w:line="240" w:lineRule="auto"/>
              <w:jc w:val="both"/>
              <w:textAlignment w:val="auto"/>
              <w:rPr>
                <w:rFonts w:ascii="宋体"/>
              </w:rPr>
            </w:pPr>
            <w:r>
              <w:rPr>
                <w:rFonts w:ascii="宋体" w:hAnsi="宋体" w:cs="宋体"/>
              </w:rPr>
              <w:t xml:space="preserve">   2</w:t>
            </w:r>
            <w:r>
              <w:rPr>
                <w:rFonts w:hint="eastAsia" w:ascii="宋体" w:hAnsi="宋体" w:cs="宋体"/>
              </w:rPr>
              <w:t>）具有良好的商业信誉和健全的财务会计制度；</w:t>
            </w:r>
          </w:p>
          <w:p>
            <w:pPr>
              <w:adjustRightInd/>
              <w:spacing w:line="240" w:lineRule="auto"/>
              <w:jc w:val="both"/>
              <w:textAlignment w:val="auto"/>
              <w:rPr>
                <w:rFonts w:ascii="宋体"/>
              </w:rPr>
            </w:pPr>
            <w:r>
              <w:rPr>
                <w:rFonts w:ascii="宋体" w:hAnsi="宋体" w:cs="宋体"/>
              </w:rPr>
              <w:t xml:space="preserve">   3</w:t>
            </w:r>
            <w:r>
              <w:rPr>
                <w:rFonts w:hint="eastAsia" w:ascii="宋体" w:hAnsi="宋体" w:cs="宋体"/>
              </w:rPr>
              <w:t>）具有履行合同所必需的设备和专业技术能力；</w:t>
            </w:r>
          </w:p>
          <w:p>
            <w:pPr>
              <w:adjustRightInd/>
              <w:spacing w:line="240" w:lineRule="auto"/>
              <w:jc w:val="both"/>
              <w:textAlignment w:val="auto"/>
              <w:rPr>
                <w:rFonts w:ascii="宋体"/>
              </w:rPr>
            </w:pPr>
            <w:r>
              <w:rPr>
                <w:rFonts w:ascii="宋体" w:hAnsi="宋体" w:cs="宋体"/>
              </w:rPr>
              <w:t xml:space="preserve">   4</w:t>
            </w:r>
            <w:r>
              <w:rPr>
                <w:rFonts w:hint="eastAsia" w:ascii="宋体" w:hAnsi="宋体" w:cs="宋体"/>
              </w:rPr>
              <w:t>）有依法缴纳税收和社会保障资金的良好记录；</w:t>
            </w:r>
          </w:p>
          <w:p>
            <w:pPr>
              <w:adjustRightInd/>
              <w:spacing w:line="240" w:lineRule="auto"/>
              <w:jc w:val="both"/>
              <w:textAlignment w:val="auto"/>
              <w:rPr>
                <w:rFonts w:ascii="宋体"/>
              </w:rPr>
            </w:pPr>
            <w:r>
              <w:rPr>
                <w:rFonts w:ascii="宋体" w:hAnsi="宋体" w:cs="宋体"/>
              </w:rPr>
              <w:t xml:space="preserve">   5</w:t>
            </w:r>
            <w:r>
              <w:rPr>
                <w:rFonts w:hint="eastAsia" w:ascii="宋体" w:hAnsi="宋体" w:cs="宋体"/>
              </w:rPr>
              <w:t>）参加政府采购活动前三年内，在经营活动中没有重大违法记录；</w:t>
            </w:r>
          </w:p>
          <w:p>
            <w:pPr>
              <w:adjustRightInd/>
              <w:spacing w:line="240" w:lineRule="auto"/>
              <w:jc w:val="both"/>
              <w:textAlignment w:val="auto"/>
              <w:rPr>
                <w:rFonts w:ascii="宋体"/>
              </w:rPr>
            </w:pPr>
            <w:r>
              <w:rPr>
                <w:rFonts w:ascii="宋体" w:hAnsi="宋体" w:cs="宋体"/>
              </w:rPr>
              <w:t xml:space="preserve">   6</w:t>
            </w:r>
            <w:r>
              <w:rPr>
                <w:rFonts w:hint="eastAsia" w:ascii="宋体" w:hAnsi="宋体" w:cs="宋体"/>
              </w:rPr>
              <w:t>）法律、行政法规规定的其他条件。</w:t>
            </w:r>
          </w:p>
          <w:p>
            <w:r>
              <w:t>2</w:t>
            </w:r>
            <w:r>
              <w:rPr>
                <w:rFonts w:hint="eastAsia" w:cs="宋体"/>
              </w:rPr>
              <w:t>、</w:t>
            </w:r>
            <w:r>
              <w:rPr>
                <w:rFonts w:hint="eastAsia" w:ascii="宋体" w:hAnsi="宋体" w:cs="宋体"/>
              </w:rPr>
              <w:t>在兰州市设有固定的经营场所，且能够提供兰州市的本地化技术支持</w:t>
            </w:r>
            <w:r>
              <w:rPr>
                <w:rFonts w:hint="eastAsia" w:cs="宋体"/>
              </w:rPr>
              <w:t>；</w:t>
            </w:r>
          </w:p>
          <w:p>
            <w:r>
              <w:t>3</w:t>
            </w:r>
            <w:r>
              <w:rPr>
                <w:rFonts w:hint="eastAsia" w:cs="宋体"/>
              </w:rPr>
              <w:t>、</w:t>
            </w:r>
            <w:r>
              <w:rPr>
                <w:rFonts w:hint="eastAsia" w:ascii="Arial" w:hAnsi="Arial" w:cs="宋体"/>
              </w:rPr>
              <w:t>具有系统集成资质或者运维资质；</w:t>
            </w:r>
          </w:p>
          <w:p>
            <w:r>
              <w:t>4</w:t>
            </w:r>
            <w:r>
              <w:rPr>
                <w:rFonts w:hint="eastAsia" w:cs="宋体"/>
              </w:rPr>
              <w:t>、中标后中标人不得分包或转包项目；</w:t>
            </w:r>
          </w:p>
          <w:p>
            <w:r>
              <w:t>5</w:t>
            </w:r>
            <w:r>
              <w:rPr>
                <w:rFonts w:hint="eastAsia" w:cs="宋体"/>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jc w:val="center"/>
        </w:trPr>
        <w:tc>
          <w:tcPr>
            <w:tcW w:w="628" w:type="dxa"/>
            <w:vAlign w:val="center"/>
          </w:tcPr>
          <w:p>
            <w:pPr>
              <w:spacing w:line="340" w:lineRule="exact"/>
              <w:jc w:val="center"/>
              <w:rPr>
                <w:rFonts w:ascii="宋体"/>
              </w:rPr>
            </w:pPr>
            <w:r>
              <w:rPr>
                <w:rFonts w:ascii="宋体" w:hAnsi="宋体" w:cs="宋体"/>
              </w:rPr>
              <w:t>3</w:t>
            </w:r>
          </w:p>
        </w:tc>
        <w:tc>
          <w:tcPr>
            <w:tcW w:w="973" w:type="dxa"/>
            <w:vAlign w:val="center"/>
          </w:tcPr>
          <w:p>
            <w:pPr>
              <w:spacing w:line="340" w:lineRule="exact"/>
              <w:jc w:val="center"/>
              <w:rPr>
                <w:rFonts w:ascii="宋体"/>
              </w:rPr>
            </w:pPr>
            <w:r>
              <w:rPr>
                <w:rFonts w:ascii="宋体" w:hAnsi="宋体" w:cs="宋体"/>
              </w:rPr>
              <w:t>2.6</w:t>
            </w:r>
          </w:p>
        </w:tc>
        <w:tc>
          <w:tcPr>
            <w:tcW w:w="2512" w:type="dxa"/>
            <w:vAlign w:val="center"/>
          </w:tcPr>
          <w:p>
            <w:pPr>
              <w:spacing w:line="340" w:lineRule="exact"/>
              <w:rPr>
                <w:rFonts w:ascii="宋体"/>
              </w:rPr>
            </w:pPr>
            <w:r>
              <w:rPr>
                <w:rFonts w:hint="eastAsia" w:ascii="宋体" w:hAnsi="宋体" w:cs="宋体"/>
              </w:rPr>
              <w:t>是否允许代理商投标</w:t>
            </w:r>
          </w:p>
        </w:tc>
        <w:tc>
          <w:tcPr>
            <w:tcW w:w="4844" w:type="dxa"/>
            <w:vAlign w:val="center"/>
          </w:tcPr>
          <w:p>
            <w:pPr>
              <w:spacing w:line="340" w:lineRule="exact"/>
              <w:jc w:val="center"/>
              <w:rPr>
                <w:rFonts w:ascii="宋体"/>
              </w:rPr>
            </w:pP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8" w:type="dxa"/>
            <w:vAlign w:val="center"/>
          </w:tcPr>
          <w:p>
            <w:pPr>
              <w:spacing w:line="340" w:lineRule="exact"/>
              <w:jc w:val="center"/>
              <w:rPr>
                <w:rFonts w:ascii="宋体"/>
              </w:rPr>
            </w:pPr>
            <w:r>
              <w:rPr>
                <w:rFonts w:ascii="宋体" w:hAnsi="宋体" w:cs="宋体"/>
              </w:rPr>
              <w:t>4</w:t>
            </w:r>
          </w:p>
        </w:tc>
        <w:tc>
          <w:tcPr>
            <w:tcW w:w="973" w:type="dxa"/>
            <w:vAlign w:val="center"/>
          </w:tcPr>
          <w:p>
            <w:pPr>
              <w:spacing w:line="340" w:lineRule="exact"/>
              <w:jc w:val="center"/>
              <w:rPr>
                <w:rFonts w:ascii="宋体"/>
              </w:rPr>
            </w:pPr>
            <w:r>
              <w:rPr>
                <w:rFonts w:ascii="宋体" w:hAnsi="宋体" w:cs="宋体"/>
              </w:rPr>
              <w:t>8</w:t>
            </w:r>
          </w:p>
        </w:tc>
        <w:tc>
          <w:tcPr>
            <w:tcW w:w="2512" w:type="dxa"/>
            <w:vAlign w:val="center"/>
          </w:tcPr>
          <w:p>
            <w:pPr>
              <w:pStyle w:val="24"/>
              <w:spacing w:line="340" w:lineRule="exact"/>
              <w:rPr>
                <w:rFonts w:cs="Times New Roman"/>
              </w:rPr>
            </w:pPr>
            <w:r>
              <w:rPr>
                <w:rFonts w:hint="eastAsia"/>
              </w:rPr>
              <w:t>投标人应提交的商务文件</w:t>
            </w:r>
          </w:p>
        </w:tc>
        <w:tc>
          <w:tcPr>
            <w:tcW w:w="4844" w:type="dxa"/>
            <w:vAlign w:val="center"/>
          </w:tcPr>
          <w:p>
            <w:pPr>
              <w:pStyle w:val="16"/>
              <w:tabs>
                <w:tab w:val="left" w:pos="-1908"/>
              </w:tabs>
              <w:spacing w:line="320" w:lineRule="exact"/>
              <w:ind w:left="-410" w:leftChars="-171"/>
              <w:rPr>
                <w:rFonts w:hAnsi="宋体" w:cs="Times New Roman"/>
                <w:sz w:val="24"/>
                <w:szCs w:val="24"/>
              </w:rPr>
            </w:pPr>
          </w:p>
          <w:p>
            <w:pPr>
              <w:pStyle w:val="16"/>
              <w:numPr>
                <w:ilvl w:val="0"/>
                <w:numId w:val="5"/>
              </w:numPr>
              <w:tabs>
                <w:tab w:val="left" w:pos="-1908"/>
                <w:tab w:val="left" w:pos="480"/>
                <w:tab w:val="clear" w:pos="1140"/>
              </w:tabs>
              <w:spacing w:line="320" w:lineRule="exact"/>
              <w:ind w:left="480" w:hanging="480"/>
              <w:rPr>
                <w:rFonts w:hAnsi="宋体" w:cs="Times New Roman"/>
                <w:sz w:val="24"/>
                <w:szCs w:val="24"/>
              </w:rPr>
            </w:pPr>
            <w:r>
              <w:rPr>
                <w:rFonts w:hAnsi="宋体"/>
                <w:sz w:val="24"/>
                <w:szCs w:val="24"/>
              </w:rPr>
              <w:t>*</w:t>
            </w:r>
            <w:r>
              <w:rPr>
                <w:rFonts w:hint="eastAsia" w:hAnsi="宋体"/>
                <w:sz w:val="24"/>
                <w:szCs w:val="24"/>
              </w:rPr>
              <w:t>投标函；</w:t>
            </w:r>
          </w:p>
          <w:p>
            <w:pPr>
              <w:pStyle w:val="16"/>
              <w:numPr>
                <w:ilvl w:val="0"/>
                <w:numId w:val="5"/>
              </w:numPr>
              <w:tabs>
                <w:tab w:val="left" w:pos="-1908"/>
                <w:tab w:val="left" w:pos="480"/>
                <w:tab w:val="clear" w:pos="1140"/>
              </w:tabs>
              <w:spacing w:line="320" w:lineRule="exact"/>
              <w:ind w:left="480" w:hanging="480"/>
              <w:rPr>
                <w:rFonts w:hAnsi="宋体" w:cs="Times New Roman"/>
                <w:sz w:val="24"/>
                <w:szCs w:val="24"/>
              </w:rPr>
            </w:pPr>
            <w:r>
              <w:rPr>
                <w:rFonts w:hAnsi="宋体"/>
                <w:sz w:val="24"/>
                <w:szCs w:val="24"/>
              </w:rPr>
              <w:t>*</w:t>
            </w:r>
            <w:r>
              <w:rPr>
                <w:rFonts w:hint="eastAsia" w:hAnsi="宋体"/>
                <w:sz w:val="24"/>
                <w:szCs w:val="24"/>
              </w:rPr>
              <w:t>法定代表人授权委托书；</w:t>
            </w:r>
          </w:p>
          <w:p>
            <w:pPr>
              <w:pStyle w:val="16"/>
              <w:numPr>
                <w:ilvl w:val="0"/>
                <w:numId w:val="5"/>
              </w:numPr>
              <w:tabs>
                <w:tab w:val="left" w:pos="-1908"/>
                <w:tab w:val="left" w:pos="480"/>
                <w:tab w:val="clear" w:pos="1140"/>
              </w:tabs>
              <w:spacing w:line="320" w:lineRule="exact"/>
              <w:ind w:left="480" w:hanging="480"/>
              <w:rPr>
                <w:rFonts w:hAnsi="宋体" w:cs="Times New Roman"/>
                <w:sz w:val="24"/>
                <w:szCs w:val="24"/>
              </w:rPr>
            </w:pPr>
            <w:r>
              <w:rPr>
                <w:rFonts w:hAnsi="宋体"/>
                <w:sz w:val="24"/>
                <w:szCs w:val="24"/>
              </w:rPr>
              <w:t>*</w:t>
            </w:r>
            <w:r>
              <w:rPr>
                <w:rFonts w:hint="eastAsia" w:hAnsi="宋体"/>
                <w:sz w:val="24"/>
                <w:szCs w:val="24"/>
              </w:rPr>
              <w:t>营业执照（副本复印件加盖投标人公章）；</w:t>
            </w:r>
          </w:p>
          <w:p>
            <w:pPr>
              <w:pStyle w:val="16"/>
              <w:numPr>
                <w:ilvl w:val="0"/>
                <w:numId w:val="5"/>
              </w:numPr>
              <w:tabs>
                <w:tab w:val="left" w:pos="-1908"/>
                <w:tab w:val="left" w:pos="480"/>
                <w:tab w:val="clear" w:pos="1140"/>
              </w:tabs>
              <w:spacing w:line="320" w:lineRule="exact"/>
              <w:ind w:left="480" w:hanging="480"/>
              <w:rPr>
                <w:rFonts w:hAnsi="宋体" w:cs="Times New Roman"/>
                <w:sz w:val="24"/>
                <w:szCs w:val="24"/>
              </w:rPr>
            </w:pPr>
            <w:r>
              <w:rPr>
                <w:rFonts w:hAnsi="宋体"/>
                <w:sz w:val="24"/>
                <w:szCs w:val="24"/>
              </w:rPr>
              <w:t>*</w:t>
            </w:r>
            <w:r>
              <w:rPr>
                <w:rFonts w:hint="eastAsia" w:hAnsi="宋体"/>
                <w:sz w:val="24"/>
                <w:szCs w:val="24"/>
              </w:rPr>
              <w:t>税务登记证（复印件加盖投标人公章）；</w:t>
            </w:r>
          </w:p>
          <w:p>
            <w:pPr>
              <w:pStyle w:val="16"/>
              <w:numPr>
                <w:ilvl w:val="0"/>
                <w:numId w:val="5"/>
              </w:numPr>
              <w:tabs>
                <w:tab w:val="left" w:pos="-1908"/>
                <w:tab w:val="left" w:pos="480"/>
                <w:tab w:val="clear" w:pos="1140"/>
              </w:tabs>
              <w:spacing w:line="320" w:lineRule="exact"/>
              <w:ind w:left="480" w:hanging="480"/>
              <w:rPr>
                <w:rFonts w:hAnsi="宋体" w:cs="Times New Roman"/>
                <w:sz w:val="24"/>
                <w:szCs w:val="24"/>
              </w:rPr>
            </w:pPr>
            <w:r>
              <w:rPr>
                <w:rFonts w:hAnsi="宋体"/>
                <w:sz w:val="24"/>
                <w:szCs w:val="24"/>
              </w:rPr>
              <w:t>*</w:t>
            </w:r>
            <w:r>
              <w:rPr>
                <w:rFonts w:hint="eastAsia" w:hAnsi="宋体"/>
                <w:sz w:val="24"/>
                <w:szCs w:val="24"/>
              </w:rPr>
              <w:t>投标保证金；</w:t>
            </w:r>
          </w:p>
          <w:p>
            <w:pPr>
              <w:pStyle w:val="16"/>
              <w:numPr>
                <w:ilvl w:val="0"/>
                <w:numId w:val="5"/>
              </w:numPr>
              <w:tabs>
                <w:tab w:val="left" w:pos="-1908"/>
                <w:tab w:val="left" w:pos="480"/>
                <w:tab w:val="clear" w:pos="1140"/>
              </w:tabs>
              <w:spacing w:line="320" w:lineRule="exact"/>
              <w:ind w:left="480" w:hanging="480"/>
              <w:rPr>
                <w:rFonts w:hAnsi="宋体" w:cs="Times New Roman"/>
                <w:sz w:val="24"/>
                <w:szCs w:val="24"/>
              </w:rPr>
            </w:pPr>
            <w:r>
              <w:rPr>
                <w:rFonts w:hAnsi="宋体"/>
                <w:sz w:val="24"/>
                <w:szCs w:val="24"/>
              </w:rPr>
              <w:t>*</w:t>
            </w:r>
            <w:r>
              <w:rPr>
                <w:rFonts w:hint="eastAsia" w:hAnsi="宋体"/>
                <w:sz w:val="24"/>
                <w:szCs w:val="24"/>
              </w:rPr>
              <w:t>投标人资格声明；</w:t>
            </w:r>
          </w:p>
          <w:p>
            <w:pPr>
              <w:pStyle w:val="16"/>
              <w:numPr>
                <w:ilvl w:val="0"/>
                <w:numId w:val="5"/>
              </w:numPr>
              <w:tabs>
                <w:tab w:val="left" w:pos="480"/>
                <w:tab w:val="clear" w:pos="1140"/>
              </w:tabs>
              <w:spacing w:line="320" w:lineRule="exact"/>
              <w:ind w:left="480" w:hanging="480"/>
              <w:rPr>
                <w:rFonts w:hAnsi="宋体" w:cs="Times New Roman"/>
                <w:sz w:val="24"/>
                <w:szCs w:val="24"/>
              </w:rPr>
            </w:pPr>
            <w:r>
              <w:rPr>
                <w:rFonts w:hAnsi="宋体"/>
                <w:sz w:val="24"/>
                <w:szCs w:val="24"/>
              </w:rPr>
              <w:t>*</w:t>
            </w:r>
            <w:r>
              <w:rPr>
                <w:rFonts w:hint="eastAsia" w:hAnsi="宋体"/>
                <w:sz w:val="24"/>
                <w:szCs w:val="24"/>
              </w:rPr>
              <w:t>投标人在兰州市市设有固定的经营场所，提供工商登记证明（外地企业提供，复印件加盖投标人公章）；</w:t>
            </w:r>
          </w:p>
          <w:p>
            <w:pPr>
              <w:pStyle w:val="16"/>
              <w:numPr>
                <w:ilvl w:val="0"/>
                <w:numId w:val="5"/>
              </w:numPr>
              <w:tabs>
                <w:tab w:val="left" w:pos="480"/>
                <w:tab w:val="clear" w:pos="1140"/>
              </w:tabs>
              <w:spacing w:line="320" w:lineRule="exact"/>
              <w:ind w:left="480" w:hanging="480"/>
              <w:rPr>
                <w:rFonts w:hAnsi="宋体" w:cs="Times New Roman"/>
                <w:sz w:val="24"/>
                <w:szCs w:val="24"/>
              </w:rPr>
            </w:pPr>
            <w:r>
              <w:rPr>
                <w:rFonts w:hAnsi="宋体"/>
                <w:sz w:val="24"/>
                <w:szCs w:val="24"/>
              </w:rPr>
              <w:t>*</w:t>
            </w:r>
            <w:r>
              <w:rPr>
                <w:rFonts w:hint="eastAsia" w:hAnsi="宋体"/>
                <w:sz w:val="24"/>
                <w:szCs w:val="24"/>
              </w:rPr>
              <w:t>系统集成资质或者运维资质（复印件加盖投标人公章）；</w:t>
            </w:r>
          </w:p>
          <w:p>
            <w:pPr>
              <w:pStyle w:val="16"/>
              <w:numPr>
                <w:ilvl w:val="0"/>
                <w:numId w:val="5"/>
              </w:numPr>
              <w:tabs>
                <w:tab w:val="left" w:pos="480"/>
                <w:tab w:val="clear" w:pos="1140"/>
              </w:tabs>
              <w:spacing w:line="320" w:lineRule="exact"/>
              <w:ind w:left="480" w:hanging="480"/>
              <w:rPr>
                <w:rFonts w:hAnsi="宋体" w:cs="Times New Roman"/>
                <w:sz w:val="24"/>
                <w:szCs w:val="24"/>
              </w:rPr>
            </w:pPr>
            <w:r>
              <w:rPr>
                <w:rFonts w:hAnsi="宋体"/>
                <w:sz w:val="24"/>
                <w:szCs w:val="24"/>
              </w:rPr>
              <w:t>*</w:t>
            </w:r>
            <w:r>
              <w:rPr>
                <w:rFonts w:hint="eastAsia" w:hAnsi="宋体"/>
                <w:sz w:val="24"/>
                <w:szCs w:val="24"/>
              </w:rPr>
              <w:t>银行开具的资信证明</w:t>
            </w:r>
            <w:r>
              <w:rPr>
                <w:rFonts w:hAnsi="宋体"/>
                <w:sz w:val="24"/>
                <w:szCs w:val="24"/>
              </w:rPr>
              <w:t>(</w:t>
            </w:r>
            <w:r>
              <w:rPr>
                <w:rFonts w:hint="eastAsia" w:hAnsi="宋体"/>
                <w:sz w:val="24"/>
                <w:szCs w:val="24"/>
              </w:rPr>
              <w:t>资信证明应为银行在投标文件递交截止日前三个月内开具的正本或复印件，存款证明无效</w:t>
            </w:r>
            <w:r>
              <w:rPr>
                <w:rFonts w:hAnsi="宋体"/>
                <w:sz w:val="24"/>
                <w:szCs w:val="24"/>
              </w:rPr>
              <w:t>)</w:t>
            </w:r>
            <w:r>
              <w:rPr>
                <w:rFonts w:hint="eastAsia" w:hAnsi="宋体"/>
                <w:sz w:val="24"/>
                <w:szCs w:val="24"/>
              </w:rPr>
              <w:t>或提供上年度财务审计报告</w:t>
            </w:r>
            <w:r>
              <w:rPr>
                <w:rFonts w:hAnsi="宋体"/>
                <w:sz w:val="24"/>
                <w:szCs w:val="24"/>
              </w:rPr>
              <w:t>(</w:t>
            </w:r>
            <w:r>
              <w:rPr>
                <w:rFonts w:hint="eastAsia" w:hAnsi="宋体"/>
                <w:sz w:val="24"/>
                <w:szCs w:val="24"/>
              </w:rPr>
              <w:t>复印件加盖投标人公章</w:t>
            </w:r>
            <w:r>
              <w:rPr>
                <w:rFonts w:hAnsi="宋体"/>
                <w:sz w:val="24"/>
                <w:szCs w:val="24"/>
              </w:rPr>
              <w:t>)</w:t>
            </w:r>
            <w:r>
              <w:rPr>
                <w:rFonts w:hint="eastAsia" w:hAnsi="宋体"/>
                <w:sz w:val="24"/>
                <w:szCs w:val="24"/>
              </w:rPr>
              <w:t>；</w:t>
            </w:r>
          </w:p>
          <w:p>
            <w:pPr>
              <w:pStyle w:val="16"/>
              <w:numPr>
                <w:ilvl w:val="0"/>
                <w:numId w:val="5"/>
              </w:numPr>
              <w:tabs>
                <w:tab w:val="left" w:pos="480"/>
                <w:tab w:val="clear" w:pos="1140"/>
              </w:tabs>
              <w:spacing w:line="320" w:lineRule="exact"/>
              <w:ind w:left="480" w:hanging="480"/>
              <w:rPr>
                <w:rFonts w:hAnsi="宋体" w:cs="Times New Roman"/>
                <w:sz w:val="24"/>
                <w:szCs w:val="24"/>
              </w:rPr>
            </w:pPr>
            <w:r>
              <w:rPr>
                <w:rFonts w:hAnsi="宋体"/>
                <w:sz w:val="24"/>
                <w:szCs w:val="24"/>
              </w:rPr>
              <w:t>*</w:t>
            </w:r>
            <w:r>
              <w:rPr>
                <w:rFonts w:hint="eastAsia" w:hAnsi="宋体"/>
                <w:sz w:val="24"/>
                <w:szCs w:val="24"/>
              </w:rPr>
              <w:t>投标截止月前任意</w:t>
            </w:r>
            <w:r>
              <w:rPr>
                <w:rFonts w:hAnsi="宋体"/>
                <w:sz w:val="24"/>
                <w:szCs w:val="24"/>
              </w:rPr>
              <w:t>3</w:t>
            </w:r>
            <w:r>
              <w:rPr>
                <w:rFonts w:hint="eastAsia" w:hAnsi="宋体"/>
                <w:sz w:val="24"/>
                <w:szCs w:val="24"/>
              </w:rPr>
              <w:t>个月依法缴纳税收和社会保障资金的相关缴费凭证或证明材料</w:t>
            </w:r>
            <w:r>
              <w:rPr>
                <w:rFonts w:hAnsi="宋体"/>
                <w:sz w:val="24"/>
                <w:szCs w:val="24"/>
              </w:rPr>
              <w:t>(</w:t>
            </w:r>
            <w:r>
              <w:rPr>
                <w:rFonts w:hint="eastAsia" w:hAnsi="宋体"/>
                <w:sz w:val="24"/>
                <w:szCs w:val="24"/>
              </w:rPr>
              <w:t>复印件加盖投标人公章</w:t>
            </w:r>
            <w:r>
              <w:rPr>
                <w:rFonts w:hAnsi="宋体"/>
                <w:sz w:val="24"/>
                <w:szCs w:val="24"/>
              </w:rPr>
              <w:t>)</w:t>
            </w:r>
            <w:r>
              <w:rPr>
                <w:rFonts w:hint="eastAsia" w:hAnsi="宋体"/>
                <w:sz w:val="24"/>
                <w:szCs w:val="24"/>
              </w:rPr>
              <w:t>；</w:t>
            </w:r>
          </w:p>
          <w:p>
            <w:pPr>
              <w:pStyle w:val="16"/>
              <w:numPr>
                <w:ilvl w:val="0"/>
                <w:numId w:val="5"/>
              </w:numPr>
              <w:tabs>
                <w:tab w:val="left" w:pos="480"/>
                <w:tab w:val="left" w:pos="720"/>
                <w:tab w:val="clear" w:pos="1140"/>
              </w:tabs>
              <w:spacing w:line="320" w:lineRule="exact"/>
              <w:ind w:left="480" w:hanging="480"/>
              <w:rPr>
                <w:rFonts w:hAnsi="宋体" w:cs="Times New Roman"/>
                <w:sz w:val="24"/>
                <w:szCs w:val="24"/>
              </w:rPr>
            </w:pPr>
            <w:r>
              <w:rPr>
                <w:rFonts w:hAnsi="宋体"/>
                <w:sz w:val="24"/>
                <w:szCs w:val="24"/>
              </w:rPr>
              <w:t>*</w:t>
            </w:r>
            <w:r>
              <w:rPr>
                <w:rFonts w:hint="eastAsia" w:hAnsi="宋体"/>
                <w:sz w:val="24"/>
                <w:szCs w:val="24"/>
              </w:rPr>
              <w:t>参加此项采购活动前三年内，在经营活动中没有重大违法记录声明（加盖投标人公章）；</w:t>
            </w:r>
          </w:p>
          <w:p>
            <w:pPr>
              <w:pStyle w:val="16"/>
              <w:numPr>
                <w:ilvl w:val="0"/>
                <w:numId w:val="5"/>
              </w:numPr>
              <w:tabs>
                <w:tab w:val="left" w:pos="480"/>
                <w:tab w:val="left" w:pos="720"/>
                <w:tab w:val="clear" w:pos="1140"/>
              </w:tabs>
              <w:spacing w:line="320" w:lineRule="exact"/>
              <w:ind w:left="480" w:hanging="480"/>
              <w:rPr>
                <w:rFonts w:hAnsi="宋体"/>
                <w:sz w:val="24"/>
                <w:szCs w:val="24"/>
              </w:rPr>
            </w:pPr>
            <w:r>
              <w:rPr>
                <w:rFonts w:hint="eastAsia" w:hAnsi="宋体"/>
                <w:sz w:val="24"/>
                <w:szCs w:val="24"/>
              </w:rPr>
              <w:t>投标人认为需要提供的其他商务资料。</w:t>
            </w:r>
            <w:r>
              <w:rPr>
                <w:rFonts w:hAnsi="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jc w:val="center"/>
        </w:trPr>
        <w:tc>
          <w:tcPr>
            <w:tcW w:w="628" w:type="dxa"/>
            <w:vAlign w:val="center"/>
          </w:tcPr>
          <w:p>
            <w:pPr>
              <w:spacing w:line="340" w:lineRule="exact"/>
              <w:jc w:val="center"/>
              <w:rPr>
                <w:rFonts w:ascii="宋体"/>
              </w:rPr>
            </w:pPr>
            <w:r>
              <w:rPr>
                <w:rFonts w:ascii="宋体" w:hAnsi="宋体" w:cs="宋体"/>
              </w:rPr>
              <w:t>5</w:t>
            </w:r>
          </w:p>
        </w:tc>
        <w:tc>
          <w:tcPr>
            <w:tcW w:w="973" w:type="dxa"/>
            <w:vAlign w:val="center"/>
          </w:tcPr>
          <w:p>
            <w:pPr>
              <w:spacing w:line="340" w:lineRule="exact"/>
              <w:jc w:val="center"/>
              <w:rPr>
                <w:rFonts w:ascii="宋体"/>
              </w:rPr>
            </w:pPr>
            <w:r>
              <w:rPr>
                <w:rFonts w:ascii="宋体" w:hAnsi="宋体" w:cs="宋体"/>
              </w:rPr>
              <w:t>8</w:t>
            </w:r>
          </w:p>
        </w:tc>
        <w:tc>
          <w:tcPr>
            <w:tcW w:w="2512" w:type="dxa"/>
            <w:vAlign w:val="center"/>
          </w:tcPr>
          <w:p>
            <w:pPr>
              <w:spacing w:line="340" w:lineRule="exact"/>
              <w:jc w:val="both"/>
              <w:rPr>
                <w:rFonts w:ascii="宋体"/>
              </w:rPr>
            </w:pPr>
            <w:r>
              <w:rPr>
                <w:rFonts w:hint="eastAsia" w:ascii="宋体" w:hAnsi="宋体" w:cs="宋体"/>
              </w:rPr>
              <w:t>投标人应提交的技术文件</w:t>
            </w:r>
          </w:p>
        </w:tc>
        <w:tc>
          <w:tcPr>
            <w:tcW w:w="4844" w:type="dxa"/>
            <w:vAlign w:val="center"/>
          </w:tcPr>
          <w:p>
            <w:pPr>
              <w:numPr>
                <w:ilvl w:val="0"/>
                <w:numId w:val="6"/>
              </w:numPr>
              <w:tabs>
                <w:tab w:val="left" w:pos="316"/>
                <w:tab w:val="clear" w:pos="1140"/>
              </w:tabs>
              <w:adjustRightInd/>
              <w:spacing w:line="340" w:lineRule="exact"/>
              <w:ind w:left="344" w:hanging="344"/>
              <w:jc w:val="both"/>
              <w:textAlignment w:val="auto"/>
              <w:rPr>
                <w:rFonts w:ascii="宋体"/>
                <w:kern w:val="2"/>
              </w:rPr>
            </w:pPr>
            <w:r>
              <w:rPr>
                <w:rFonts w:ascii="宋体" w:hAnsi="宋体" w:cs="宋体"/>
                <w:kern w:val="2"/>
              </w:rPr>
              <w:t>*</w:t>
            </w:r>
            <w:r>
              <w:rPr>
                <w:rFonts w:hint="eastAsia" w:ascii="宋体" w:hAnsi="宋体" w:cs="宋体"/>
                <w:kern w:val="2"/>
              </w:rPr>
              <w:t>开标一览表；</w:t>
            </w:r>
            <w:r>
              <w:rPr>
                <w:rFonts w:ascii="宋体" w:hAnsi="宋体" w:cs="宋体"/>
                <w:kern w:val="2"/>
              </w:rPr>
              <w:t xml:space="preserve"> </w:t>
            </w:r>
          </w:p>
          <w:p>
            <w:pPr>
              <w:numPr>
                <w:ilvl w:val="0"/>
                <w:numId w:val="6"/>
              </w:numPr>
              <w:tabs>
                <w:tab w:val="left" w:pos="400"/>
                <w:tab w:val="clear" w:pos="1140"/>
              </w:tabs>
              <w:adjustRightInd/>
              <w:spacing w:line="340" w:lineRule="exact"/>
              <w:ind w:left="344" w:hanging="344"/>
              <w:jc w:val="both"/>
              <w:textAlignment w:val="auto"/>
              <w:rPr>
                <w:rFonts w:ascii="宋体"/>
              </w:rPr>
            </w:pPr>
            <w:r>
              <w:rPr>
                <w:rFonts w:ascii="宋体" w:hAnsi="宋体" w:cs="宋体"/>
              </w:rPr>
              <w:t>*</w:t>
            </w:r>
            <w:r>
              <w:rPr>
                <w:rFonts w:hint="eastAsia" w:ascii="宋体" w:hAnsi="宋体" w:cs="宋体"/>
              </w:rPr>
              <w:t>投标报价明细表；</w:t>
            </w:r>
          </w:p>
          <w:p>
            <w:pPr>
              <w:numPr>
                <w:ilvl w:val="0"/>
                <w:numId w:val="6"/>
              </w:numPr>
              <w:tabs>
                <w:tab w:val="left" w:pos="414"/>
                <w:tab w:val="clear" w:pos="1140"/>
              </w:tabs>
              <w:adjustRightInd/>
              <w:spacing w:line="340" w:lineRule="exact"/>
              <w:ind w:left="414" w:hanging="414"/>
              <w:jc w:val="both"/>
              <w:textAlignment w:val="auto"/>
              <w:rPr>
                <w:rFonts w:ascii="宋体"/>
              </w:rPr>
            </w:pPr>
            <w:r>
              <w:rPr>
                <w:rFonts w:hint="eastAsia" w:ascii="宋体" w:hAnsi="宋体" w:cs="宋体"/>
                <w:kern w:val="2"/>
              </w:rPr>
              <w:t>投标人自行编写的技术文件</w:t>
            </w:r>
            <w:r>
              <w:rPr>
                <w:rFonts w:ascii="宋体" w:hAnsi="宋体" w:cs="宋体"/>
                <w:kern w:val="2"/>
              </w:rPr>
              <w:t>(</w:t>
            </w:r>
            <w:r>
              <w:rPr>
                <w:rFonts w:hint="eastAsia" w:ascii="宋体" w:hAnsi="宋体" w:cs="宋体"/>
                <w:kern w:val="2"/>
              </w:rPr>
              <w:t>详见本表第</w:t>
            </w:r>
            <w:r>
              <w:rPr>
                <w:rFonts w:ascii="宋体" w:hAnsi="宋体" w:cs="宋体"/>
                <w:kern w:val="2"/>
              </w:rPr>
              <w:t>6</w:t>
            </w:r>
            <w:r>
              <w:rPr>
                <w:rFonts w:hint="eastAsia" w:ascii="宋体" w:hAnsi="宋体" w:cs="宋体"/>
                <w:kern w:val="2"/>
              </w:rPr>
              <w:t>项</w:t>
            </w:r>
            <w:r>
              <w:rPr>
                <w:rFonts w:ascii="宋体" w:hAnsi="宋体" w:cs="宋体"/>
                <w:kern w:val="2"/>
              </w:rPr>
              <w:t>)</w:t>
            </w:r>
            <w:r>
              <w:rPr>
                <w:rFonts w:hint="eastAsia" w:ascii="宋体" w:hAnsi="宋体" w:cs="宋体"/>
                <w:kern w:val="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5" w:hRule="atLeast"/>
          <w:jc w:val="center"/>
        </w:trPr>
        <w:tc>
          <w:tcPr>
            <w:tcW w:w="628" w:type="dxa"/>
            <w:vAlign w:val="center"/>
          </w:tcPr>
          <w:p>
            <w:pPr>
              <w:spacing w:line="340" w:lineRule="exact"/>
              <w:jc w:val="center"/>
              <w:rPr>
                <w:rFonts w:ascii="宋体"/>
              </w:rPr>
            </w:pPr>
            <w:r>
              <w:rPr>
                <w:rFonts w:ascii="宋体" w:hAnsi="宋体" w:cs="宋体"/>
              </w:rPr>
              <w:t>6</w:t>
            </w:r>
          </w:p>
        </w:tc>
        <w:tc>
          <w:tcPr>
            <w:tcW w:w="973" w:type="dxa"/>
            <w:vAlign w:val="center"/>
          </w:tcPr>
          <w:p>
            <w:pPr>
              <w:spacing w:line="340" w:lineRule="exact"/>
              <w:jc w:val="center"/>
              <w:rPr>
                <w:rFonts w:ascii="宋体"/>
              </w:rPr>
            </w:pPr>
            <w:r>
              <w:rPr>
                <w:rFonts w:ascii="宋体" w:hAnsi="宋体" w:cs="宋体"/>
              </w:rPr>
              <w:t>8</w:t>
            </w:r>
          </w:p>
        </w:tc>
        <w:tc>
          <w:tcPr>
            <w:tcW w:w="2512" w:type="dxa"/>
            <w:vAlign w:val="center"/>
          </w:tcPr>
          <w:p>
            <w:pPr>
              <w:spacing w:line="340" w:lineRule="exact"/>
              <w:jc w:val="both"/>
              <w:rPr>
                <w:rFonts w:ascii="宋体"/>
              </w:rPr>
            </w:pPr>
            <w:r>
              <w:rPr>
                <w:rFonts w:hint="eastAsia" w:ascii="宋体" w:hAnsi="宋体" w:cs="宋体"/>
              </w:rPr>
              <w:t>投标人自行编写的技术文件</w:t>
            </w:r>
          </w:p>
        </w:tc>
        <w:tc>
          <w:tcPr>
            <w:tcW w:w="4844" w:type="dxa"/>
            <w:vAlign w:val="center"/>
          </w:tcPr>
          <w:p>
            <w:pPr>
              <w:adjustRightInd/>
              <w:spacing w:line="320" w:lineRule="exact"/>
              <w:ind w:left="5"/>
              <w:jc w:val="center"/>
              <w:textAlignment w:val="auto"/>
              <w:rPr>
                <w:rFonts w:ascii="宋体"/>
                <w:kern w:val="2"/>
              </w:rPr>
            </w:pPr>
            <w:r>
              <w:rPr>
                <w:rFonts w:hint="eastAsia" w:ascii="宋体" w:hAnsi="宋体" w:cs="宋体"/>
              </w:rPr>
              <w:t>（</w:t>
            </w:r>
            <w:r>
              <w:rPr>
                <w:rFonts w:hint="eastAsia" w:ascii="宋体" w:hAnsi="宋体" w:cs="宋体"/>
                <w:kern w:val="2"/>
              </w:rPr>
              <w:t>服务商自行编写，格式自拟）</w:t>
            </w:r>
          </w:p>
          <w:p>
            <w:pPr>
              <w:numPr>
                <w:ilvl w:val="0"/>
                <w:numId w:val="7"/>
              </w:numPr>
              <w:spacing w:line="340" w:lineRule="exact"/>
              <w:rPr>
                <w:rFonts w:ascii="宋体"/>
              </w:rPr>
            </w:pPr>
            <w:r>
              <w:rPr>
                <w:rFonts w:hint="eastAsia" w:ascii="宋体" w:hAnsi="宋体" w:cs="宋体"/>
              </w:rPr>
              <w:t>项目实施方案；</w:t>
            </w:r>
          </w:p>
          <w:p>
            <w:pPr>
              <w:spacing w:line="340" w:lineRule="exact"/>
              <w:rPr>
                <w:rFonts w:ascii="宋体"/>
                <w:kern w:val="2"/>
              </w:rPr>
            </w:pPr>
            <w:r>
              <w:rPr>
                <w:rFonts w:ascii="宋体" w:hAnsi="宋体" w:cs="宋体"/>
              </w:rPr>
              <w:t>2</w:t>
            </w:r>
            <w:r>
              <w:rPr>
                <w:rFonts w:hint="eastAsia" w:ascii="宋体" w:hAnsi="宋体" w:cs="宋体"/>
              </w:rPr>
              <w:t>、服务承诺。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jc w:val="center"/>
        </w:trPr>
        <w:tc>
          <w:tcPr>
            <w:tcW w:w="628" w:type="dxa"/>
            <w:vAlign w:val="center"/>
          </w:tcPr>
          <w:p>
            <w:pPr>
              <w:spacing w:line="340" w:lineRule="exact"/>
              <w:jc w:val="center"/>
              <w:rPr>
                <w:rFonts w:ascii="宋体"/>
              </w:rPr>
            </w:pPr>
            <w:r>
              <w:rPr>
                <w:rFonts w:ascii="宋体" w:hAnsi="宋体" w:cs="宋体"/>
              </w:rPr>
              <w:t>7</w:t>
            </w:r>
          </w:p>
        </w:tc>
        <w:tc>
          <w:tcPr>
            <w:tcW w:w="973" w:type="dxa"/>
            <w:vAlign w:val="center"/>
          </w:tcPr>
          <w:p>
            <w:pPr>
              <w:spacing w:line="340" w:lineRule="exact"/>
              <w:jc w:val="center"/>
              <w:rPr>
                <w:rFonts w:ascii="宋体"/>
              </w:rPr>
            </w:pPr>
            <w:r>
              <w:rPr>
                <w:rFonts w:ascii="宋体" w:hAnsi="宋体" w:cs="宋体"/>
              </w:rPr>
              <w:t>8.3</w:t>
            </w:r>
          </w:p>
        </w:tc>
        <w:tc>
          <w:tcPr>
            <w:tcW w:w="2512" w:type="dxa"/>
            <w:vAlign w:val="center"/>
          </w:tcPr>
          <w:p>
            <w:pPr>
              <w:spacing w:line="340" w:lineRule="exact"/>
              <w:jc w:val="center"/>
              <w:rPr>
                <w:rFonts w:ascii="宋体"/>
              </w:rPr>
            </w:pPr>
            <w:r>
              <w:rPr>
                <w:rFonts w:hint="eastAsia" w:ascii="宋体" w:hAnsi="宋体" w:cs="宋体"/>
              </w:rPr>
              <w:t>投标保证金额</w:t>
            </w:r>
          </w:p>
        </w:tc>
        <w:tc>
          <w:tcPr>
            <w:tcW w:w="4844" w:type="dxa"/>
            <w:vAlign w:val="center"/>
          </w:tcPr>
          <w:p>
            <w:pPr>
              <w:pStyle w:val="66"/>
              <w:numPr>
                <w:ilvl w:val="0"/>
                <w:numId w:val="0"/>
              </w:numPr>
              <w:tabs>
                <w:tab w:val="left" w:pos="-2"/>
              </w:tabs>
              <w:spacing w:line="340" w:lineRule="exact"/>
              <w:ind w:left="-2" w:firstLine="2"/>
              <w:jc w:val="left"/>
              <w:rPr>
                <w:rFonts w:hAnsi="宋体"/>
                <w:sz w:val="24"/>
                <w:szCs w:val="24"/>
                <w:lang w:val="en-US" w:eastAsia="zh-CN"/>
              </w:rPr>
            </w:pPr>
            <w:r>
              <w:rPr>
                <w:rFonts w:hAnsi="宋体" w:cs="宋体"/>
                <w:sz w:val="24"/>
                <w:szCs w:val="24"/>
                <w:lang w:val="en-US" w:eastAsia="zh-CN"/>
              </w:rPr>
              <w:t xml:space="preserve">          </w:t>
            </w:r>
            <w:r>
              <w:rPr>
                <w:rFonts w:hint="eastAsia" w:hAnsi="宋体" w:cs="宋体"/>
                <w:sz w:val="24"/>
                <w:szCs w:val="24"/>
                <w:lang w:val="en-US" w:eastAsia="zh-CN"/>
              </w:rPr>
              <w:t>人民币伍仟元整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28" w:type="dxa"/>
            <w:vAlign w:val="center"/>
          </w:tcPr>
          <w:p>
            <w:pPr>
              <w:spacing w:line="340" w:lineRule="exact"/>
              <w:jc w:val="center"/>
              <w:rPr>
                <w:rFonts w:ascii="宋体"/>
              </w:rPr>
            </w:pPr>
            <w:r>
              <w:rPr>
                <w:rFonts w:ascii="宋体" w:hAnsi="宋体" w:cs="宋体"/>
              </w:rPr>
              <w:t>8</w:t>
            </w:r>
          </w:p>
        </w:tc>
        <w:tc>
          <w:tcPr>
            <w:tcW w:w="973" w:type="dxa"/>
            <w:vAlign w:val="center"/>
          </w:tcPr>
          <w:p>
            <w:pPr>
              <w:spacing w:line="340" w:lineRule="exact"/>
              <w:jc w:val="center"/>
              <w:rPr>
                <w:rFonts w:ascii="宋体"/>
              </w:rPr>
            </w:pPr>
            <w:r>
              <w:rPr>
                <w:rFonts w:ascii="宋体" w:hAnsi="宋体" w:cs="宋体"/>
              </w:rPr>
              <w:t>11.1</w:t>
            </w:r>
          </w:p>
        </w:tc>
        <w:tc>
          <w:tcPr>
            <w:tcW w:w="2512" w:type="dxa"/>
            <w:vAlign w:val="center"/>
          </w:tcPr>
          <w:p>
            <w:pPr>
              <w:spacing w:line="340" w:lineRule="exact"/>
              <w:jc w:val="center"/>
              <w:rPr>
                <w:rFonts w:ascii="宋体"/>
              </w:rPr>
            </w:pPr>
            <w:r>
              <w:rPr>
                <w:rFonts w:hint="eastAsia" w:ascii="宋体" w:hAnsi="宋体" w:cs="宋体"/>
              </w:rPr>
              <w:t>投标有效期</w:t>
            </w:r>
          </w:p>
        </w:tc>
        <w:tc>
          <w:tcPr>
            <w:tcW w:w="4844" w:type="dxa"/>
            <w:vAlign w:val="center"/>
          </w:tcPr>
          <w:p>
            <w:pPr>
              <w:spacing w:line="340" w:lineRule="exact"/>
              <w:ind w:firstLine="4" w:firstLineChars="2"/>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8" w:hRule="atLeast"/>
          <w:jc w:val="center"/>
        </w:trPr>
        <w:tc>
          <w:tcPr>
            <w:tcW w:w="628" w:type="dxa"/>
            <w:vAlign w:val="center"/>
          </w:tcPr>
          <w:p>
            <w:pPr>
              <w:spacing w:line="340" w:lineRule="exact"/>
              <w:jc w:val="center"/>
              <w:rPr>
                <w:rFonts w:ascii="宋体"/>
              </w:rPr>
            </w:pPr>
            <w:r>
              <w:rPr>
                <w:rFonts w:ascii="宋体" w:hAnsi="宋体" w:cs="宋体"/>
              </w:rPr>
              <w:t>9</w:t>
            </w:r>
          </w:p>
        </w:tc>
        <w:tc>
          <w:tcPr>
            <w:tcW w:w="973" w:type="dxa"/>
            <w:vAlign w:val="center"/>
          </w:tcPr>
          <w:p>
            <w:pPr>
              <w:spacing w:line="340" w:lineRule="exact"/>
              <w:jc w:val="center"/>
              <w:rPr>
                <w:rFonts w:ascii="宋体"/>
              </w:rPr>
            </w:pPr>
            <w:r>
              <w:rPr>
                <w:rFonts w:ascii="宋体" w:hAnsi="宋体" w:cs="宋体"/>
              </w:rPr>
              <w:t>12.3</w:t>
            </w:r>
          </w:p>
        </w:tc>
        <w:tc>
          <w:tcPr>
            <w:tcW w:w="2512" w:type="dxa"/>
            <w:vAlign w:val="center"/>
          </w:tcPr>
          <w:p>
            <w:pPr>
              <w:spacing w:line="340" w:lineRule="exact"/>
              <w:jc w:val="center"/>
              <w:rPr>
                <w:rFonts w:ascii="宋体"/>
              </w:rPr>
            </w:pPr>
            <w:r>
              <w:rPr>
                <w:rFonts w:hint="eastAsia" w:ascii="宋体" w:hAnsi="宋体" w:cs="宋体"/>
              </w:rPr>
              <w:t>投标文件份数</w:t>
            </w:r>
          </w:p>
        </w:tc>
        <w:tc>
          <w:tcPr>
            <w:tcW w:w="4844" w:type="dxa"/>
            <w:vAlign w:val="center"/>
          </w:tcPr>
          <w:p>
            <w:pPr>
              <w:spacing w:line="340" w:lineRule="exact"/>
              <w:jc w:val="both"/>
              <w:rPr>
                <w:rFonts w:ascii="宋体"/>
              </w:rPr>
            </w:pPr>
            <w:r>
              <w:rPr>
                <w:rFonts w:hint="eastAsia" w:ascii="宋体" w:hAnsi="宋体" w:cs="宋体"/>
              </w:rPr>
              <w:t>投标文件一式</w:t>
            </w:r>
            <w:r>
              <w:rPr>
                <w:rFonts w:ascii="宋体" w:hAnsi="宋体" w:cs="宋体"/>
                <w:u w:val="single"/>
              </w:rPr>
              <w:t xml:space="preserve"> </w:t>
            </w:r>
            <w:r>
              <w:rPr>
                <w:rFonts w:hint="eastAsia" w:ascii="宋体" w:hAnsi="宋体" w:cs="宋体"/>
                <w:u w:val="single"/>
              </w:rPr>
              <w:t>3</w:t>
            </w:r>
            <w:r>
              <w:rPr>
                <w:rFonts w:hint="eastAsia" w:ascii="宋体" w:hAnsi="宋体" w:cs="宋体"/>
              </w:rPr>
              <w:t>份，其中正本</w:t>
            </w:r>
            <w:r>
              <w:rPr>
                <w:rFonts w:ascii="宋体" w:hAnsi="宋体" w:cs="宋体"/>
                <w:u w:val="single"/>
              </w:rPr>
              <w:t xml:space="preserve"> 1</w:t>
            </w:r>
            <w:r>
              <w:rPr>
                <w:rFonts w:hint="eastAsia" w:ascii="宋体" w:hAnsi="宋体" w:cs="宋体"/>
              </w:rPr>
              <w:t>份，副本</w:t>
            </w:r>
            <w:r>
              <w:rPr>
                <w:rFonts w:ascii="宋体" w:hAnsi="宋体" w:cs="宋体"/>
                <w:u w:val="single"/>
              </w:rPr>
              <w:t xml:space="preserve"> </w:t>
            </w:r>
            <w:r>
              <w:rPr>
                <w:rFonts w:hint="eastAsia" w:ascii="宋体" w:hAnsi="宋体" w:cs="宋体"/>
                <w:u w:val="single"/>
              </w:rPr>
              <w:t>2</w:t>
            </w:r>
            <w:r>
              <w:rPr>
                <w:rFonts w:hint="eastAsia" w:ascii="宋体" w:hAnsi="宋体" w:cs="宋体"/>
              </w:rPr>
              <w:t>份。</w:t>
            </w:r>
          </w:p>
        </w:tc>
      </w:tr>
    </w:tbl>
    <w:p>
      <w:pPr>
        <w:rPr>
          <w:sz w:val="30"/>
          <w:szCs w:val="30"/>
        </w:rPr>
      </w:pPr>
      <w:r>
        <w:rPr>
          <w:rFonts w:hint="eastAsia" w:ascii="宋体" w:hAnsi="宋体" w:cs="宋体"/>
          <w:b/>
          <w:bCs/>
        </w:rPr>
        <w:t>注：加</w:t>
      </w:r>
      <w:r>
        <w:rPr>
          <w:rFonts w:ascii="宋体" w:hAnsi="宋体" w:cs="宋体"/>
          <w:b/>
          <w:bCs/>
        </w:rPr>
        <w:t>*</w:t>
      </w:r>
      <w:r>
        <w:rPr>
          <w:rFonts w:hint="eastAsia" w:ascii="宋体" w:hAnsi="宋体" w:cs="宋体"/>
          <w:b/>
          <w:bCs/>
        </w:rPr>
        <w:t>项目若有缺失或无效，将导致被废标。</w:t>
      </w:r>
    </w:p>
    <w:p>
      <w:pPr>
        <w:rPr>
          <w:sz w:val="30"/>
          <w:szCs w:val="30"/>
        </w:rPr>
      </w:pPr>
      <w:r>
        <w:rPr>
          <w:sz w:val="30"/>
          <w:szCs w:val="30"/>
        </w:rPr>
        <w:br w:type="page"/>
      </w:r>
    </w:p>
    <w:p>
      <w:pPr>
        <w:pStyle w:val="2"/>
        <w:numPr>
          <w:ilvl w:val="0"/>
          <w:numId w:val="0"/>
        </w:numPr>
        <w:spacing w:before="0" w:after="0" w:line="360" w:lineRule="auto"/>
        <w:jc w:val="center"/>
        <w:rPr>
          <w:rFonts w:ascii="宋体"/>
          <w:sz w:val="32"/>
          <w:szCs w:val="32"/>
        </w:rPr>
      </w:pPr>
      <w:bookmarkStart w:id="4" w:name="_Toc18619"/>
      <w:bookmarkStart w:id="5" w:name="_Toc1429135"/>
      <w:bookmarkStart w:id="6" w:name="_Toc318900856"/>
      <w:bookmarkStart w:id="7" w:name="_Toc414523490"/>
      <w:bookmarkStart w:id="8" w:name="_Toc23585"/>
      <w:bookmarkStart w:id="9" w:name="_Toc150404624"/>
      <w:bookmarkStart w:id="10" w:name="_Toc98641129"/>
      <w:bookmarkStart w:id="11" w:name="_Toc276765840"/>
      <w:bookmarkStart w:id="12" w:name="_Toc31992"/>
      <w:r>
        <w:rPr>
          <w:rFonts w:hint="eastAsia" w:ascii="宋体" w:hAnsi="宋体" w:cs="宋体"/>
          <w:sz w:val="32"/>
          <w:szCs w:val="32"/>
        </w:rPr>
        <w:t>第三部分</w:t>
      </w:r>
      <w:r>
        <w:rPr>
          <w:rFonts w:ascii="宋体" w:hAnsi="宋体" w:cs="宋体"/>
          <w:sz w:val="32"/>
          <w:szCs w:val="32"/>
        </w:rPr>
        <w:t xml:space="preserve">  </w:t>
      </w:r>
      <w:r>
        <w:rPr>
          <w:rFonts w:hint="eastAsia" w:ascii="宋体" w:hAnsi="宋体" w:cs="宋体"/>
          <w:sz w:val="32"/>
          <w:szCs w:val="32"/>
        </w:rPr>
        <w:t>投标人须知</w:t>
      </w:r>
      <w:bookmarkEnd w:id="4"/>
      <w:bookmarkEnd w:id="5"/>
      <w:bookmarkEnd w:id="6"/>
      <w:bookmarkEnd w:id="7"/>
      <w:bookmarkEnd w:id="8"/>
      <w:bookmarkEnd w:id="9"/>
      <w:bookmarkEnd w:id="10"/>
      <w:bookmarkEnd w:id="11"/>
      <w:bookmarkEnd w:id="12"/>
    </w:p>
    <w:p>
      <w:pPr>
        <w:pStyle w:val="3"/>
        <w:numPr>
          <w:ilvl w:val="1"/>
          <w:numId w:val="0"/>
        </w:numPr>
        <w:spacing w:before="0" w:after="0" w:line="360" w:lineRule="auto"/>
        <w:ind w:left="240"/>
        <w:rPr>
          <w:rFonts w:ascii="宋体" w:hAnsi="宋体" w:eastAsia="宋体" w:cs="Times New Roman"/>
          <w:sz w:val="24"/>
          <w:szCs w:val="24"/>
        </w:rPr>
      </w:pPr>
      <w:bookmarkStart w:id="13" w:name="_Toc1429136"/>
      <w:bookmarkStart w:id="14" w:name="_Toc20489"/>
      <w:bookmarkStart w:id="15" w:name="_Toc415831318"/>
      <w:bookmarkStart w:id="16" w:name="_Toc146597846"/>
      <w:bookmarkStart w:id="17" w:name="_Toc86202582"/>
      <w:r>
        <w:rPr>
          <w:rFonts w:hint="eastAsia" w:ascii="宋体" w:hAnsi="宋体" w:eastAsia="宋体" w:cs="宋体"/>
          <w:sz w:val="24"/>
          <w:szCs w:val="24"/>
        </w:rPr>
        <w:t>一、总则</w:t>
      </w:r>
      <w:bookmarkEnd w:id="13"/>
      <w:bookmarkEnd w:id="14"/>
      <w:bookmarkEnd w:id="15"/>
      <w:bookmarkEnd w:id="16"/>
      <w:bookmarkEnd w:id="17"/>
    </w:p>
    <w:p>
      <w:pPr>
        <w:spacing w:line="360" w:lineRule="auto"/>
        <w:rPr>
          <w:rFonts w:ascii="宋体"/>
        </w:rPr>
      </w:pPr>
      <w:r>
        <w:rPr>
          <w:rFonts w:ascii="宋体" w:hAnsi="宋体" w:cs="宋体"/>
        </w:rPr>
        <w:t xml:space="preserve">     </w:t>
      </w:r>
      <w:r>
        <w:rPr>
          <w:rFonts w:hint="eastAsia" w:ascii="宋体" w:hAnsi="宋体" w:cs="宋体"/>
        </w:rPr>
        <w:t>本招标文件适用于本文件第七部分中所述相关服务的招标投标。</w:t>
      </w:r>
    </w:p>
    <w:p>
      <w:pPr>
        <w:pStyle w:val="66"/>
        <w:tabs>
          <w:tab w:val="clear" w:pos="709"/>
        </w:tabs>
        <w:spacing w:line="360" w:lineRule="auto"/>
        <w:rPr>
          <w:sz w:val="24"/>
          <w:szCs w:val="24"/>
        </w:rPr>
      </w:pPr>
      <w:r>
        <w:rPr>
          <w:rFonts w:hint="eastAsia"/>
          <w:sz w:val="24"/>
          <w:szCs w:val="24"/>
        </w:rPr>
        <w:t>定义：</w:t>
      </w:r>
    </w:p>
    <w:p>
      <w:pPr>
        <w:pStyle w:val="66"/>
        <w:numPr>
          <w:ilvl w:val="0"/>
          <w:numId w:val="0"/>
        </w:numPr>
        <w:spacing w:line="360" w:lineRule="auto"/>
        <w:rPr>
          <w:sz w:val="24"/>
          <w:szCs w:val="24"/>
        </w:rPr>
      </w:pPr>
      <w:r>
        <w:rPr>
          <w:sz w:val="24"/>
          <w:szCs w:val="24"/>
        </w:rPr>
        <w:t xml:space="preserve">1.1  </w:t>
      </w:r>
      <w:r>
        <w:rPr>
          <w:rFonts w:hint="eastAsia"/>
          <w:sz w:val="24"/>
          <w:szCs w:val="24"/>
        </w:rPr>
        <w:t>“招标人”指甘肃警察职业学院。</w:t>
      </w:r>
    </w:p>
    <w:p>
      <w:pPr>
        <w:pStyle w:val="66"/>
        <w:numPr>
          <w:ilvl w:val="0"/>
          <w:numId w:val="0"/>
        </w:numPr>
        <w:spacing w:line="360" w:lineRule="auto"/>
        <w:rPr>
          <w:sz w:val="24"/>
          <w:szCs w:val="24"/>
        </w:rPr>
      </w:pPr>
      <w:r>
        <w:rPr>
          <w:sz w:val="24"/>
          <w:szCs w:val="24"/>
        </w:rPr>
        <w:t xml:space="preserve">1.2  </w:t>
      </w:r>
      <w:r>
        <w:rPr>
          <w:rFonts w:hint="eastAsia"/>
          <w:sz w:val="24"/>
          <w:szCs w:val="24"/>
        </w:rPr>
        <w:t>“招标服务”指本招标文件中第七部分所述相关服务。</w:t>
      </w:r>
    </w:p>
    <w:p>
      <w:pPr>
        <w:pStyle w:val="66"/>
        <w:numPr>
          <w:ilvl w:val="0"/>
          <w:numId w:val="0"/>
        </w:numPr>
        <w:spacing w:line="360" w:lineRule="auto"/>
        <w:rPr>
          <w:sz w:val="24"/>
          <w:szCs w:val="24"/>
        </w:rPr>
      </w:pPr>
      <w:r>
        <w:rPr>
          <w:sz w:val="24"/>
          <w:szCs w:val="24"/>
        </w:rPr>
        <w:t xml:space="preserve">1.3  </w:t>
      </w:r>
      <w:r>
        <w:rPr>
          <w:rFonts w:hint="eastAsia"/>
          <w:sz w:val="24"/>
          <w:szCs w:val="24"/>
        </w:rPr>
        <w:t>“潜在投标人”指符合招标文件规定的合格服务商。</w:t>
      </w:r>
    </w:p>
    <w:p>
      <w:pPr>
        <w:pStyle w:val="66"/>
        <w:numPr>
          <w:ilvl w:val="0"/>
          <w:numId w:val="0"/>
        </w:numPr>
        <w:spacing w:line="360" w:lineRule="auto"/>
        <w:rPr>
          <w:sz w:val="24"/>
          <w:szCs w:val="24"/>
        </w:rPr>
      </w:pPr>
      <w:r>
        <w:rPr>
          <w:sz w:val="24"/>
          <w:szCs w:val="24"/>
        </w:rPr>
        <w:t xml:space="preserve">1.4  </w:t>
      </w:r>
      <w:r>
        <w:rPr>
          <w:rFonts w:hint="eastAsia"/>
          <w:sz w:val="24"/>
          <w:szCs w:val="24"/>
        </w:rPr>
        <w:t>“投标人”指符合本文件规定并参加投标的服务商。</w:t>
      </w:r>
    </w:p>
    <w:p>
      <w:pPr>
        <w:pStyle w:val="66"/>
        <w:numPr>
          <w:ilvl w:val="0"/>
          <w:numId w:val="0"/>
        </w:numPr>
        <w:spacing w:line="360" w:lineRule="auto"/>
        <w:rPr>
          <w:sz w:val="24"/>
          <w:szCs w:val="24"/>
        </w:rPr>
      </w:pPr>
      <w:r>
        <w:rPr>
          <w:sz w:val="24"/>
          <w:szCs w:val="24"/>
        </w:rPr>
        <w:t xml:space="preserve">1.5   </w:t>
      </w:r>
      <w:r>
        <w:rPr>
          <w:rFonts w:hint="eastAsia"/>
          <w:sz w:val="24"/>
          <w:szCs w:val="24"/>
        </w:rPr>
        <w:t>“投标人代表”指投标人的企业法定代表人或法定代表人授权书中列明的被授权人。</w:t>
      </w:r>
    </w:p>
    <w:p>
      <w:pPr>
        <w:pStyle w:val="66"/>
        <w:numPr>
          <w:ilvl w:val="0"/>
          <w:numId w:val="0"/>
        </w:numPr>
        <w:spacing w:line="360" w:lineRule="auto"/>
        <w:rPr>
          <w:sz w:val="24"/>
          <w:szCs w:val="24"/>
        </w:rPr>
      </w:pPr>
      <w:r>
        <w:rPr>
          <w:sz w:val="24"/>
          <w:szCs w:val="24"/>
        </w:rPr>
        <w:t xml:space="preserve">1.6  </w:t>
      </w:r>
      <w:r>
        <w:rPr>
          <w:rFonts w:hint="eastAsia"/>
          <w:sz w:val="24"/>
          <w:szCs w:val="24"/>
        </w:rPr>
        <w:t>“中标候选人”指经评标委员会评审满足采购需求、质量和服务的投标人。</w:t>
      </w:r>
    </w:p>
    <w:p>
      <w:pPr>
        <w:pStyle w:val="66"/>
        <w:numPr>
          <w:ilvl w:val="0"/>
          <w:numId w:val="0"/>
        </w:numPr>
        <w:spacing w:line="360" w:lineRule="auto"/>
        <w:rPr>
          <w:sz w:val="24"/>
          <w:szCs w:val="24"/>
        </w:rPr>
      </w:pPr>
      <w:r>
        <w:rPr>
          <w:sz w:val="24"/>
          <w:szCs w:val="24"/>
        </w:rPr>
        <w:t xml:space="preserve">1.7  </w:t>
      </w:r>
      <w:r>
        <w:rPr>
          <w:rFonts w:hint="eastAsia"/>
          <w:sz w:val="24"/>
          <w:szCs w:val="24"/>
        </w:rPr>
        <w:t>“中标人”指最终与招标人签订采购合同的中标候选人。</w:t>
      </w:r>
    </w:p>
    <w:p>
      <w:pPr>
        <w:pStyle w:val="66"/>
        <w:numPr>
          <w:ilvl w:val="0"/>
          <w:numId w:val="0"/>
        </w:numPr>
        <w:spacing w:line="360" w:lineRule="auto"/>
        <w:rPr>
          <w:sz w:val="24"/>
          <w:szCs w:val="24"/>
        </w:rPr>
      </w:pPr>
    </w:p>
    <w:p>
      <w:pPr>
        <w:pStyle w:val="66"/>
        <w:tabs>
          <w:tab w:val="clear" w:pos="709"/>
        </w:tabs>
        <w:spacing w:line="360" w:lineRule="auto"/>
        <w:rPr>
          <w:sz w:val="24"/>
          <w:szCs w:val="24"/>
        </w:rPr>
      </w:pPr>
      <w:r>
        <w:rPr>
          <w:rFonts w:hint="eastAsia"/>
          <w:sz w:val="24"/>
          <w:szCs w:val="24"/>
        </w:rPr>
        <w:t>合格投标人的条件</w:t>
      </w:r>
    </w:p>
    <w:p>
      <w:pPr>
        <w:pStyle w:val="66"/>
        <w:numPr>
          <w:ilvl w:val="0"/>
          <w:numId w:val="0"/>
        </w:numPr>
        <w:spacing w:line="360" w:lineRule="auto"/>
        <w:ind w:left="720" w:hanging="720" w:hangingChars="300"/>
        <w:rPr>
          <w:sz w:val="24"/>
          <w:szCs w:val="24"/>
        </w:rPr>
      </w:pPr>
      <w:r>
        <w:rPr>
          <w:sz w:val="24"/>
          <w:szCs w:val="24"/>
        </w:rPr>
        <w:t xml:space="preserve">2.1   </w:t>
      </w:r>
      <w:r>
        <w:rPr>
          <w:rFonts w:hint="eastAsia"/>
          <w:sz w:val="24"/>
          <w:szCs w:val="24"/>
        </w:rPr>
        <w:t>具有本项目实施能力，符合、承认并承诺履行本文件各项规定的国内法人和其他组织均可参加投标。</w:t>
      </w:r>
    </w:p>
    <w:p>
      <w:pPr>
        <w:pStyle w:val="66"/>
        <w:numPr>
          <w:ilvl w:val="0"/>
          <w:numId w:val="0"/>
        </w:numPr>
        <w:spacing w:line="360" w:lineRule="auto"/>
        <w:ind w:left="720" w:hanging="720" w:hangingChars="300"/>
        <w:rPr>
          <w:sz w:val="24"/>
          <w:szCs w:val="24"/>
        </w:rPr>
      </w:pPr>
      <w:r>
        <w:rPr>
          <w:sz w:val="24"/>
          <w:szCs w:val="24"/>
        </w:rPr>
        <w:t xml:space="preserve">2.2   </w:t>
      </w:r>
      <w:r>
        <w:rPr>
          <w:rFonts w:hint="eastAsia"/>
          <w:sz w:val="24"/>
          <w:szCs w:val="24"/>
        </w:rPr>
        <w:t>投标人应遵守有关的国家法律、法规和条例，具备《中华人民共和国政府采购法》和本文件中规定的条件：</w:t>
      </w:r>
    </w:p>
    <w:p>
      <w:pPr>
        <w:numPr>
          <w:ilvl w:val="0"/>
          <w:numId w:val="8"/>
        </w:numPr>
        <w:spacing w:line="360" w:lineRule="auto"/>
        <w:ind w:hanging="542"/>
        <w:rPr>
          <w:rFonts w:ascii="宋体"/>
        </w:rPr>
      </w:pPr>
      <w:r>
        <w:rPr>
          <w:rFonts w:hint="eastAsia" w:ascii="宋体" w:hAnsi="宋体" w:cs="宋体"/>
        </w:rPr>
        <w:t>具有独立承担民事责任的能力；</w:t>
      </w:r>
    </w:p>
    <w:p>
      <w:pPr>
        <w:numPr>
          <w:ilvl w:val="0"/>
          <w:numId w:val="8"/>
        </w:numPr>
        <w:spacing w:line="360" w:lineRule="auto"/>
        <w:ind w:hanging="542"/>
        <w:rPr>
          <w:rFonts w:ascii="宋体"/>
        </w:rPr>
      </w:pPr>
      <w:r>
        <w:rPr>
          <w:rFonts w:hint="eastAsia" w:ascii="宋体" w:hAnsi="宋体" w:cs="宋体"/>
        </w:rPr>
        <w:t>具有良好的商业信誉和健全的财务会计制度；</w:t>
      </w:r>
    </w:p>
    <w:p>
      <w:pPr>
        <w:numPr>
          <w:ilvl w:val="0"/>
          <w:numId w:val="8"/>
        </w:numPr>
        <w:spacing w:line="360" w:lineRule="auto"/>
        <w:ind w:hanging="542"/>
        <w:rPr>
          <w:rFonts w:ascii="宋体"/>
        </w:rPr>
      </w:pPr>
      <w:r>
        <w:rPr>
          <w:rFonts w:hint="eastAsia" w:ascii="宋体" w:hAnsi="宋体" w:cs="宋体"/>
        </w:rPr>
        <w:t>具有履行合同所必需的设备和专业技术能力；</w:t>
      </w:r>
    </w:p>
    <w:p>
      <w:pPr>
        <w:numPr>
          <w:ilvl w:val="0"/>
          <w:numId w:val="8"/>
        </w:numPr>
        <w:spacing w:line="360" w:lineRule="auto"/>
        <w:ind w:hanging="542"/>
        <w:rPr>
          <w:rFonts w:ascii="宋体"/>
        </w:rPr>
      </w:pPr>
      <w:r>
        <w:rPr>
          <w:rFonts w:hint="eastAsia" w:ascii="宋体" w:hAnsi="宋体" w:cs="宋体"/>
        </w:rPr>
        <w:t>具有依法缴纳税收和社会保障资金的良好记录；</w:t>
      </w:r>
    </w:p>
    <w:p>
      <w:pPr>
        <w:numPr>
          <w:ilvl w:val="0"/>
          <w:numId w:val="8"/>
        </w:numPr>
        <w:spacing w:line="360" w:lineRule="auto"/>
        <w:ind w:hanging="542"/>
        <w:rPr>
          <w:rFonts w:ascii="宋体"/>
        </w:rPr>
      </w:pPr>
      <w:r>
        <w:rPr>
          <w:rFonts w:hint="eastAsia" w:ascii="宋体" w:hAnsi="宋体" w:cs="宋体"/>
        </w:rPr>
        <w:t>参加此项采购活动前三年内，在经营活动中没有重大违法记录；</w:t>
      </w:r>
    </w:p>
    <w:p>
      <w:pPr>
        <w:numPr>
          <w:ilvl w:val="0"/>
          <w:numId w:val="8"/>
        </w:numPr>
        <w:spacing w:line="360" w:lineRule="auto"/>
        <w:ind w:hanging="542"/>
        <w:rPr>
          <w:rFonts w:ascii="宋体"/>
        </w:rPr>
      </w:pPr>
      <w:r>
        <w:rPr>
          <w:rFonts w:hint="eastAsia" w:ascii="宋体" w:hAnsi="宋体" w:cs="宋体"/>
        </w:rPr>
        <w:t>投标人应具有的资质详见投标人须知前附表第</w:t>
      </w:r>
      <w:r>
        <w:rPr>
          <w:rFonts w:ascii="宋体" w:hAnsi="宋体" w:cs="宋体"/>
          <w:u w:val="single"/>
        </w:rPr>
        <w:t>2</w:t>
      </w:r>
      <w:r>
        <w:rPr>
          <w:rFonts w:hint="eastAsia" w:ascii="宋体" w:hAnsi="宋体" w:cs="宋体"/>
        </w:rPr>
        <w:t>条。</w:t>
      </w:r>
    </w:p>
    <w:p>
      <w:pPr>
        <w:pStyle w:val="66"/>
        <w:numPr>
          <w:ilvl w:val="0"/>
          <w:numId w:val="0"/>
        </w:numPr>
        <w:spacing w:line="360" w:lineRule="auto"/>
        <w:rPr>
          <w:sz w:val="24"/>
          <w:szCs w:val="24"/>
        </w:rPr>
      </w:pPr>
      <w:r>
        <w:rPr>
          <w:sz w:val="24"/>
          <w:szCs w:val="24"/>
        </w:rPr>
        <w:t xml:space="preserve">2.3   </w:t>
      </w:r>
      <w:r>
        <w:rPr>
          <w:rFonts w:hint="eastAsia"/>
          <w:sz w:val="24"/>
          <w:szCs w:val="24"/>
        </w:rPr>
        <w:t>只有在法律上和财务上独立运作并独立于招标人的投标人才能参加投标。</w:t>
      </w:r>
    </w:p>
    <w:p>
      <w:pPr>
        <w:pStyle w:val="66"/>
        <w:numPr>
          <w:ilvl w:val="0"/>
          <w:numId w:val="0"/>
        </w:numPr>
        <w:spacing w:line="360" w:lineRule="auto"/>
        <w:ind w:left="720" w:hanging="720" w:hangingChars="300"/>
        <w:rPr>
          <w:sz w:val="24"/>
          <w:szCs w:val="24"/>
        </w:rPr>
      </w:pPr>
      <w:r>
        <w:rPr>
          <w:sz w:val="24"/>
          <w:szCs w:val="24"/>
        </w:rPr>
        <w:t>2.4</w:t>
      </w:r>
      <w:r>
        <w:rPr>
          <w:sz w:val="24"/>
          <w:szCs w:val="24"/>
        </w:rPr>
        <w:tab/>
      </w:r>
      <w:r>
        <w:fldChar w:fldCharType="begin"/>
      </w:r>
      <w:r>
        <w:instrText xml:space="preserve"> HYPERLINK "http://baike.sogou.com/lemma/ShowInnerLink.htm?lemmaId=7885306&amp;ss_c=ssc.citiao.link" \t "http://baike.sogou.com/_blank" </w:instrText>
      </w:r>
      <w:r>
        <w:fldChar w:fldCharType="separate"/>
      </w:r>
      <w:r>
        <w:rPr>
          <w:rStyle w:val="33"/>
          <w:rFonts w:hint="eastAsia"/>
          <w:color w:val="auto"/>
          <w:sz w:val="24"/>
          <w:szCs w:val="24"/>
          <w:u w:val="none"/>
        </w:rPr>
        <w:t>单位负责人</w:t>
      </w:r>
      <w:r>
        <w:rPr>
          <w:rStyle w:val="33"/>
          <w:rFonts w:hint="eastAsia"/>
          <w:color w:val="auto"/>
          <w:sz w:val="24"/>
          <w:szCs w:val="24"/>
          <w:u w:val="none"/>
        </w:rPr>
        <w:fldChar w:fldCharType="end"/>
      </w:r>
      <w:r>
        <w:rPr>
          <w:rFonts w:hint="eastAsia"/>
          <w:sz w:val="24"/>
          <w:szCs w:val="24"/>
        </w:rPr>
        <w:t>为同一人或者存在直接控股、管理关系的不同供应商，不得同时参加本项目采购活动。</w:t>
      </w:r>
    </w:p>
    <w:p>
      <w:pPr>
        <w:pStyle w:val="66"/>
        <w:numPr>
          <w:ilvl w:val="0"/>
          <w:numId w:val="0"/>
        </w:numPr>
        <w:spacing w:line="360" w:lineRule="auto"/>
        <w:ind w:left="720" w:hanging="720" w:hangingChars="300"/>
        <w:rPr>
          <w:sz w:val="24"/>
          <w:szCs w:val="24"/>
        </w:rPr>
      </w:pPr>
      <w:r>
        <w:rPr>
          <w:sz w:val="24"/>
          <w:szCs w:val="24"/>
        </w:rPr>
        <w:t xml:space="preserve">2.5   </w:t>
      </w:r>
      <w:r>
        <w:rPr>
          <w:rFonts w:hint="eastAsia"/>
          <w:sz w:val="24"/>
          <w:szCs w:val="24"/>
        </w:rPr>
        <w:t>本次招标是否允许代理商投标，详见投标人须知前附表第</w:t>
      </w:r>
      <w:r>
        <w:rPr>
          <w:sz w:val="24"/>
          <w:szCs w:val="24"/>
          <w:u w:val="single"/>
        </w:rPr>
        <w:t>3</w:t>
      </w:r>
      <w:r>
        <w:rPr>
          <w:rFonts w:hint="eastAsia"/>
          <w:sz w:val="24"/>
          <w:szCs w:val="24"/>
        </w:rPr>
        <w:t>条。</w:t>
      </w:r>
    </w:p>
    <w:p>
      <w:pPr>
        <w:pStyle w:val="66"/>
        <w:numPr>
          <w:ilvl w:val="0"/>
          <w:numId w:val="0"/>
        </w:numPr>
        <w:spacing w:line="360" w:lineRule="auto"/>
        <w:rPr>
          <w:sz w:val="24"/>
          <w:szCs w:val="24"/>
        </w:rPr>
      </w:pPr>
      <w:r>
        <w:rPr>
          <w:sz w:val="24"/>
          <w:szCs w:val="24"/>
        </w:rPr>
        <w:t xml:space="preserve">2.6   </w:t>
      </w:r>
      <w:r>
        <w:rPr>
          <w:rFonts w:hint="eastAsia"/>
          <w:sz w:val="24"/>
          <w:szCs w:val="24"/>
        </w:rPr>
        <w:t>投标人领取招标文件时应登记备案。</w:t>
      </w:r>
    </w:p>
    <w:p>
      <w:pPr>
        <w:pStyle w:val="66"/>
        <w:numPr>
          <w:ilvl w:val="0"/>
          <w:numId w:val="0"/>
        </w:numPr>
        <w:spacing w:line="360" w:lineRule="auto"/>
        <w:ind w:left="720" w:hanging="720" w:hangingChars="300"/>
        <w:rPr>
          <w:sz w:val="24"/>
          <w:szCs w:val="24"/>
        </w:rPr>
      </w:pPr>
      <w:r>
        <w:rPr>
          <w:sz w:val="24"/>
          <w:szCs w:val="24"/>
        </w:rPr>
        <w:t xml:space="preserve">2.7   </w:t>
      </w:r>
      <w:r>
        <w:rPr>
          <w:rFonts w:hint="eastAsia"/>
          <w:sz w:val="24"/>
          <w:szCs w:val="24"/>
        </w:rPr>
        <w:t>如投标人代表不是法定代表人，须持有《法定代表人授权委托书》</w:t>
      </w:r>
      <w:r>
        <w:rPr>
          <w:sz w:val="24"/>
          <w:szCs w:val="24"/>
        </w:rPr>
        <w:t xml:space="preserve">( </w:t>
      </w:r>
      <w:r>
        <w:rPr>
          <w:rFonts w:hint="eastAsia"/>
          <w:sz w:val="24"/>
          <w:szCs w:val="24"/>
        </w:rPr>
        <w:t>按招标文件格式填写</w:t>
      </w:r>
      <w:r>
        <w:rPr>
          <w:sz w:val="24"/>
          <w:szCs w:val="24"/>
        </w:rPr>
        <w:t>)</w:t>
      </w:r>
      <w:r>
        <w:rPr>
          <w:rFonts w:hint="eastAsia"/>
          <w:sz w:val="24"/>
          <w:szCs w:val="24"/>
        </w:rPr>
        <w:t>。</w:t>
      </w:r>
    </w:p>
    <w:p>
      <w:pPr>
        <w:spacing w:line="360" w:lineRule="auto"/>
        <w:jc w:val="both"/>
        <w:rPr>
          <w:rFonts w:ascii="宋体"/>
        </w:rPr>
      </w:pPr>
    </w:p>
    <w:p>
      <w:pPr>
        <w:pStyle w:val="66"/>
        <w:tabs>
          <w:tab w:val="clear" w:pos="709"/>
        </w:tabs>
        <w:spacing w:line="360" w:lineRule="auto"/>
        <w:rPr>
          <w:sz w:val="24"/>
          <w:szCs w:val="24"/>
        </w:rPr>
      </w:pPr>
      <w:r>
        <w:rPr>
          <w:rFonts w:hint="eastAsia"/>
          <w:sz w:val="24"/>
          <w:szCs w:val="24"/>
        </w:rPr>
        <w:t>投标费用</w:t>
      </w:r>
    </w:p>
    <w:p>
      <w:pPr>
        <w:pStyle w:val="66"/>
        <w:numPr>
          <w:ilvl w:val="0"/>
          <w:numId w:val="0"/>
        </w:numPr>
        <w:spacing w:line="360" w:lineRule="auto"/>
        <w:ind w:left="720" w:hanging="720" w:hangingChars="300"/>
        <w:rPr>
          <w:sz w:val="24"/>
          <w:szCs w:val="24"/>
        </w:rPr>
      </w:pPr>
      <w:r>
        <w:rPr>
          <w:sz w:val="24"/>
          <w:szCs w:val="24"/>
        </w:rPr>
        <w:t xml:space="preserve">3.1   </w:t>
      </w:r>
      <w:r>
        <w:rPr>
          <w:rFonts w:hint="eastAsia"/>
          <w:sz w:val="24"/>
          <w:szCs w:val="24"/>
        </w:rPr>
        <w:t>投标人应承担所有与准备和参加投标有关的费用，招标人在任何情况下均无义务和责任承担这些费用。</w:t>
      </w:r>
    </w:p>
    <w:p>
      <w:pPr>
        <w:pStyle w:val="66"/>
        <w:numPr>
          <w:ilvl w:val="0"/>
          <w:numId w:val="0"/>
        </w:numPr>
        <w:spacing w:line="360" w:lineRule="auto"/>
        <w:rPr>
          <w:sz w:val="24"/>
          <w:szCs w:val="24"/>
        </w:rPr>
      </w:pPr>
    </w:p>
    <w:p>
      <w:pPr>
        <w:pStyle w:val="66"/>
        <w:tabs>
          <w:tab w:val="clear" w:pos="709"/>
        </w:tabs>
        <w:spacing w:line="360" w:lineRule="auto"/>
        <w:rPr>
          <w:sz w:val="24"/>
          <w:szCs w:val="24"/>
        </w:rPr>
      </w:pPr>
      <w:r>
        <w:rPr>
          <w:rFonts w:hint="eastAsia"/>
          <w:sz w:val="24"/>
          <w:szCs w:val="24"/>
        </w:rPr>
        <w:t>通知</w:t>
      </w:r>
    </w:p>
    <w:p>
      <w:pPr>
        <w:spacing w:line="360" w:lineRule="auto"/>
        <w:rPr>
          <w:rFonts w:ascii="宋体"/>
        </w:rPr>
      </w:pPr>
      <w:r>
        <w:rPr>
          <w:rFonts w:ascii="宋体" w:hAnsi="宋体" w:cs="宋体"/>
        </w:rPr>
        <w:t xml:space="preserve">4.1   </w:t>
      </w:r>
      <w:r>
        <w:rPr>
          <w:rFonts w:hint="eastAsia" w:ascii="宋体" w:hAnsi="宋体" w:cs="宋体"/>
        </w:rPr>
        <w:t>对与本项目有关的通知，招标人将以书面（包括书面材料、信函、传真等，下同）或在本次招标公告刊登的媒体上发布公告的形式，送达所有与通知有关的已登记备案并领取了招标文件的潜在投标人，传真号码以潜在投标人的登记为准。潜在投标人应于收到通知的当日以书面方式予以回复确认。因登记有误或传真线路故障导致通知延迟送达或无法送达，招标人不承担责任。</w:t>
      </w:r>
    </w:p>
    <w:p>
      <w:pPr>
        <w:spacing w:line="360" w:lineRule="auto"/>
        <w:ind w:left="718" w:hanging="718"/>
        <w:rPr>
          <w:rFonts w:ascii="宋体"/>
        </w:rPr>
      </w:pPr>
    </w:p>
    <w:p>
      <w:pPr>
        <w:pStyle w:val="3"/>
        <w:numPr>
          <w:ilvl w:val="1"/>
          <w:numId w:val="0"/>
        </w:numPr>
        <w:spacing w:before="0" w:after="0" w:line="360" w:lineRule="auto"/>
        <w:rPr>
          <w:rFonts w:ascii="宋体" w:hAnsi="宋体" w:eastAsia="宋体" w:cs="Times New Roman"/>
          <w:sz w:val="24"/>
          <w:szCs w:val="24"/>
        </w:rPr>
      </w:pPr>
      <w:bookmarkStart w:id="18" w:name="_Toc1429137"/>
      <w:bookmarkStart w:id="19" w:name="_Toc8538"/>
      <w:bookmarkStart w:id="20" w:name="_Toc415831319"/>
      <w:bookmarkStart w:id="21" w:name="_Toc86202583"/>
      <w:bookmarkStart w:id="22" w:name="_Toc146597847"/>
      <w:r>
        <w:rPr>
          <w:rFonts w:hint="eastAsia" w:ascii="宋体" w:hAnsi="宋体" w:eastAsia="宋体" w:cs="宋体"/>
          <w:sz w:val="24"/>
          <w:szCs w:val="24"/>
        </w:rPr>
        <w:t>二、招标文件</w:t>
      </w:r>
      <w:bookmarkEnd w:id="18"/>
      <w:bookmarkEnd w:id="19"/>
      <w:bookmarkEnd w:id="20"/>
      <w:bookmarkEnd w:id="21"/>
      <w:bookmarkEnd w:id="22"/>
    </w:p>
    <w:p>
      <w:pPr>
        <w:pStyle w:val="66"/>
        <w:tabs>
          <w:tab w:val="clear" w:pos="709"/>
        </w:tabs>
        <w:spacing w:line="360" w:lineRule="auto"/>
        <w:rPr>
          <w:sz w:val="24"/>
          <w:szCs w:val="24"/>
        </w:rPr>
      </w:pPr>
      <w:r>
        <w:rPr>
          <w:rFonts w:hint="eastAsia"/>
          <w:sz w:val="24"/>
          <w:szCs w:val="24"/>
        </w:rPr>
        <w:t>招标文件</w:t>
      </w:r>
    </w:p>
    <w:p>
      <w:pPr>
        <w:pStyle w:val="66"/>
        <w:numPr>
          <w:ilvl w:val="0"/>
          <w:numId w:val="0"/>
        </w:numPr>
        <w:spacing w:line="360" w:lineRule="auto"/>
        <w:rPr>
          <w:sz w:val="24"/>
          <w:szCs w:val="24"/>
        </w:rPr>
      </w:pPr>
      <w:r>
        <w:rPr>
          <w:sz w:val="24"/>
          <w:szCs w:val="24"/>
        </w:rPr>
        <w:t xml:space="preserve">5.1   </w:t>
      </w:r>
      <w:r>
        <w:rPr>
          <w:rFonts w:hint="eastAsia"/>
          <w:sz w:val="24"/>
          <w:szCs w:val="24"/>
        </w:rPr>
        <w:t>招标文件由下列七部分内容组成：</w:t>
      </w:r>
    </w:p>
    <w:p>
      <w:pPr>
        <w:spacing w:line="360" w:lineRule="auto"/>
        <w:ind w:firstLine="727" w:firstLineChars="303"/>
        <w:rPr>
          <w:rFonts w:ascii="宋体"/>
        </w:rPr>
      </w:pPr>
      <w:r>
        <w:rPr>
          <w:rFonts w:hint="eastAsia" w:ascii="宋体" w:hAnsi="宋体" w:cs="宋体"/>
        </w:rPr>
        <w:t>第一部分</w:t>
      </w:r>
      <w:r>
        <w:rPr>
          <w:rFonts w:ascii="宋体" w:hAnsi="宋体" w:cs="宋体"/>
        </w:rPr>
        <w:t xml:space="preserve"> </w:t>
      </w:r>
      <w:r>
        <w:rPr>
          <w:rFonts w:hint="eastAsia" w:ascii="宋体" w:hAnsi="宋体" w:cs="宋体"/>
        </w:rPr>
        <w:t>投标邀请；</w:t>
      </w:r>
    </w:p>
    <w:p>
      <w:pPr>
        <w:spacing w:line="360" w:lineRule="auto"/>
        <w:ind w:firstLine="727" w:firstLineChars="303"/>
        <w:rPr>
          <w:rFonts w:ascii="宋体"/>
        </w:rPr>
      </w:pPr>
      <w:r>
        <w:rPr>
          <w:rFonts w:hint="eastAsia" w:ascii="宋体" w:hAnsi="宋体" w:cs="宋体"/>
        </w:rPr>
        <w:t>第二部分</w:t>
      </w:r>
      <w:r>
        <w:rPr>
          <w:rFonts w:ascii="宋体" w:hAnsi="宋体" w:cs="宋体"/>
        </w:rPr>
        <w:t xml:space="preserve"> </w:t>
      </w:r>
      <w:r>
        <w:rPr>
          <w:rFonts w:hint="eastAsia" w:ascii="宋体" w:hAnsi="宋体" w:cs="宋体"/>
        </w:rPr>
        <w:t>投标人须知前附表；</w:t>
      </w:r>
    </w:p>
    <w:p>
      <w:pPr>
        <w:spacing w:line="360" w:lineRule="auto"/>
        <w:ind w:firstLine="727" w:firstLineChars="303"/>
        <w:rPr>
          <w:rFonts w:ascii="宋体"/>
        </w:rPr>
      </w:pPr>
      <w:r>
        <w:rPr>
          <w:rFonts w:hint="eastAsia" w:ascii="宋体" w:hAnsi="宋体" w:cs="宋体"/>
        </w:rPr>
        <w:t>第三部分</w:t>
      </w:r>
      <w:r>
        <w:rPr>
          <w:rFonts w:ascii="宋体" w:hAnsi="宋体" w:cs="宋体"/>
        </w:rPr>
        <w:t xml:space="preserve"> </w:t>
      </w:r>
      <w:r>
        <w:rPr>
          <w:rFonts w:hint="eastAsia" w:ascii="宋体" w:hAnsi="宋体" w:cs="宋体"/>
        </w:rPr>
        <w:t>投标人须知；</w:t>
      </w:r>
    </w:p>
    <w:p>
      <w:pPr>
        <w:spacing w:line="360" w:lineRule="auto"/>
        <w:ind w:firstLine="727" w:firstLineChars="303"/>
        <w:rPr>
          <w:rFonts w:ascii="宋体"/>
        </w:rPr>
      </w:pPr>
      <w:r>
        <w:rPr>
          <w:rFonts w:hint="eastAsia" w:ascii="宋体" w:hAnsi="宋体" w:cs="宋体"/>
        </w:rPr>
        <w:t>第四部分</w:t>
      </w:r>
      <w:r>
        <w:rPr>
          <w:rFonts w:ascii="宋体" w:hAnsi="宋体" w:cs="宋体"/>
        </w:rPr>
        <w:t xml:space="preserve"> </w:t>
      </w:r>
      <w:r>
        <w:rPr>
          <w:rFonts w:hint="eastAsia" w:ascii="宋体" w:hAnsi="宋体" w:cs="宋体"/>
        </w:rPr>
        <w:t>评标细则和评分方法；</w:t>
      </w:r>
    </w:p>
    <w:p>
      <w:pPr>
        <w:spacing w:line="360" w:lineRule="auto"/>
        <w:ind w:firstLine="727" w:firstLineChars="303"/>
        <w:rPr>
          <w:rFonts w:ascii="宋体"/>
        </w:rPr>
      </w:pPr>
      <w:r>
        <w:rPr>
          <w:rFonts w:hint="eastAsia" w:ascii="宋体" w:hAnsi="宋体" w:cs="宋体"/>
        </w:rPr>
        <w:t>第五部分</w:t>
      </w:r>
      <w:r>
        <w:rPr>
          <w:rFonts w:ascii="宋体" w:hAnsi="宋体" w:cs="宋体"/>
        </w:rPr>
        <w:t xml:space="preserve"> </w:t>
      </w:r>
      <w:r>
        <w:rPr>
          <w:rFonts w:hint="eastAsia" w:ascii="宋体" w:hAnsi="宋体" w:cs="宋体"/>
        </w:rPr>
        <w:t>中标合同；</w:t>
      </w:r>
    </w:p>
    <w:p>
      <w:pPr>
        <w:spacing w:line="360" w:lineRule="auto"/>
        <w:ind w:firstLine="727" w:firstLineChars="303"/>
        <w:rPr>
          <w:rFonts w:ascii="宋体"/>
        </w:rPr>
      </w:pPr>
      <w:r>
        <w:rPr>
          <w:rFonts w:hint="eastAsia" w:ascii="宋体" w:hAnsi="宋体" w:cs="宋体"/>
        </w:rPr>
        <w:t>第六部分</w:t>
      </w:r>
      <w:r>
        <w:rPr>
          <w:rFonts w:ascii="宋体" w:hAnsi="宋体" w:cs="宋体"/>
        </w:rPr>
        <w:t xml:space="preserve"> </w:t>
      </w:r>
      <w:r>
        <w:rPr>
          <w:rFonts w:hint="eastAsia" w:ascii="宋体" w:hAnsi="宋体" w:cs="宋体"/>
        </w:rPr>
        <w:t>投标文件格式；</w:t>
      </w:r>
    </w:p>
    <w:p>
      <w:pPr>
        <w:spacing w:line="360" w:lineRule="auto"/>
        <w:ind w:firstLine="727" w:firstLineChars="303"/>
        <w:rPr>
          <w:rFonts w:ascii="宋体"/>
        </w:rPr>
      </w:pPr>
      <w:r>
        <w:rPr>
          <w:rFonts w:hint="eastAsia" w:ascii="宋体" w:hAnsi="宋体" w:cs="宋体"/>
        </w:rPr>
        <w:t>第七部分</w:t>
      </w:r>
      <w:r>
        <w:rPr>
          <w:rFonts w:ascii="宋体" w:hAnsi="宋体" w:cs="宋体"/>
        </w:rPr>
        <w:t xml:space="preserve"> </w:t>
      </w:r>
      <w:r>
        <w:rPr>
          <w:rFonts w:hint="eastAsia" w:ascii="宋体" w:hAnsi="宋体" w:cs="宋体"/>
        </w:rPr>
        <w:t>招标业务需求及技术要求。</w:t>
      </w:r>
    </w:p>
    <w:p>
      <w:pPr>
        <w:spacing w:line="360" w:lineRule="auto"/>
        <w:ind w:firstLine="727" w:firstLineChars="303"/>
        <w:rPr>
          <w:rFonts w:ascii="宋体"/>
        </w:rPr>
      </w:pPr>
    </w:p>
    <w:p>
      <w:pPr>
        <w:pStyle w:val="66"/>
        <w:tabs>
          <w:tab w:val="clear" w:pos="709"/>
        </w:tabs>
        <w:spacing w:line="360" w:lineRule="auto"/>
        <w:rPr>
          <w:sz w:val="24"/>
          <w:szCs w:val="24"/>
        </w:rPr>
      </w:pPr>
      <w:r>
        <w:rPr>
          <w:rFonts w:hint="eastAsia"/>
          <w:sz w:val="24"/>
          <w:szCs w:val="24"/>
        </w:rPr>
        <w:t>招标文件的澄清和修改</w:t>
      </w:r>
    </w:p>
    <w:p>
      <w:pPr>
        <w:pStyle w:val="66"/>
        <w:numPr>
          <w:ilvl w:val="0"/>
          <w:numId w:val="0"/>
        </w:numPr>
        <w:spacing w:line="360" w:lineRule="auto"/>
        <w:ind w:left="720" w:hanging="720" w:hangingChars="300"/>
        <w:rPr>
          <w:sz w:val="24"/>
          <w:szCs w:val="24"/>
        </w:rPr>
      </w:pPr>
      <w:r>
        <w:rPr>
          <w:sz w:val="24"/>
          <w:szCs w:val="24"/>
        </w:rPr>
        <w:t xml:space="preserve">6.1   </w:t>
      </w:r>
      <w:r>
        <w:rPr>
          <w:rFonts w:hint="eastAsia"/>
          <w:sz w:val="24"/>
          <w:szCs w:val="24"/>
        </w:rPr>
        <w:t>任何已登记备案并领取了招标文件的服务商，均可要求对招标文件进行澄清。澄清要求应在获取招标文件后</w:t>
      </w:r>
      <w:r>
        <w:rPr>
          <w:sz w:val="24"/>
          <w:szCs w:val="24"/>
        </w:rPr>
        <w:t>7</w:t>
      </w:r>
      <w:r>
        <w:rPr>
          <w:rFonts w:hint="eastAsia"/>
          <w:sz w:val="24"/>
          <w:szCs w:val="24"/>
        </w:rPr>
        <w:t>个工作日内，按投标邀请书中的联系地址以书面形式送达招标人，招标人将以书面形式予以答复。答复中包括原提出的问题，但不包括问题的来源。</w:t>
      </w:r>
    </w:p>
    <w:p>
      <w:pPr>
        <w:pStyle w:val="66"/>
        <w:numPr>
          <w:ilvl w:val="0"/>
          <w:numId w:val="0"/>
        </w:numPr>
        <w:spacing w:line="360" w:lineRule="auto"/>
        <w:ind w:left="720" w:hanging="720" w:hangingChars="300"/>
        <w:rPr>
          <w:sz w:val="24"/>
          <w:szCs w:val="24"/>
        </w:rPr>
      </w:pPr>
      <w:r>
        <w:rPr>
          <w:sz w:val="24"/>
          <w:szCs w:val="24"/>
        </w:rPr>
        <w:t xml:space="preserve">6.2   </w:t>
      </w:r>
      <w:r>
        <w:rPr>
          <w:rFonts w:hint="eastAsia"/>
          <w:sz w:val="24"/>
          <w:szCs w:val="24"/>
        </w:rPr>
        <w:t>在投标截止期</w:t>
      </w:r>
      <w:r>
        <w:rPr>
          <w:sz w:val="24"/>
          <w:szCs w:val="24"/>
        </w:rPr>
        <w:t>15</w:t>
      </w:r>
      <w:r>
        <w:rPr>
          <w:rFonts w:hint="eastAsia"/>
          <w:sz w:val="24"/>
          <w:szCs w:val="24"/>
        </w:rPr>
        <w:t>日以前任何时候，招标人无论出于何种原因，均可对招标文件用补充文件的方式进行澄清和修改。该文件为招标文件的组成部分，对所有领取了招标文件的潜在投标人均具有约束力。</w:t>
      </w:r>
    </w:p>
    <w:p>
      <w:pPr>
        <w:pStyle w:val="66"/>
        <w:numPr>
          <w:ilvl w:val="0"/>
          <w:numId w:val="0"/>
        </w:numPr>
        <w:spacing w:line="360" w:lineRule="auto"/>
        <w:ind w:left="720" w:hanging="720" w:hangingChars="300"/>
        <w:rPr>
          <w:sz w:val="24"/>
          <w:szCs w:val="24"/>
        </w:rPr>
      </w:pPr>
      <w:r>
        <w:rPr>
          <w:sz w:val="24"/>
          <w:szCs w:val="24"/>
        </w:rPr>
        <w:t xml:space="preserve">6.3   </w:t>
      </w:r>
      <w:r>
        <w:rPr>
          <w:rFonts w:hint="eastAsia"/>
          <w:sz w:val="24"/>
          <w:szCs w:val="24"/>
        </w:rPr>
        <w:t>对招标文件的澄清和修改，将书面通知已领取招标文件的潜在投标人，并在刊登本次招标公告的媒体上发布变更公告。投标人应于收到补充文件的当日以书面形式回复确认，否则招标人将视为其已完全知道并接受此澄清或修改的内容</w:t>
      </w:r>
      <w:r>
        <w:rPr>
          <w:sz w:val="24"/>
          <w:szCs w:val="24"/>
        </w:rPr>
        <w:t xml:space="preserve"> </w:t>
      </w:r>
      <w:r>
        <w:rPr>
          <w:rFonts w:hint="eastAsia"/>
          <w:sz w:val="24"/>
          <w:szCs w:val="24"/>
        </w:rPr>
        <w:t>。</w:t>
      </w:r>
    </w:p>
    <w:p>
      <w:pPr>
        <w:pStyle w:val="66"/>
        <w:numPr>
          <w:ilvl w:val="0"/>
          <w:numId w:val="0"/>
        </w:numPr>
        <w:spacing w:line="360" w:lineRule="auto"/>
        <w:ind w:left="720" w:hanging="720" w:hangingChars="300"/>
        <w:rPr>
          <w:sz w:val="24"/>
          <w:szCs w:val="24"/>
        </w:rPr>
      </w:pPr>
    </w:p>
    <w:p>
      <w:pPr>
        <w:pStyle w:val="66"/>
        <w:numPr>
          <w:ilvl w:val="0"/>
          <w:numId w:val="0"/>
        </w:numPr>
        <w:spacing w:line="360" w:lineRule="auto"/>
        <w:ind w:left="720" w:hanging="720" w:hangingChars="300"/>
        <w:rPr>
          <w:sz w:val="24"/>
          <w:szCs w:val="24"/>
        </w:rPr>
      </w:pPr>
      <w:r>
        <w:rPr>
          <w:sz w:val="24"/>
          <w:szCs w:val="24"/>
        </w:rPr>
        <w:t xml:space="preserve">6.4   </w:t>
      </w:r>
      <w:r>
        <w:rPr>
          <w:rFonts w:hint="eastAsia"/>
          <w:sz w:val="24"/>
          <w:szCs w:val="24"/>
        </w:rPr>
        <w:t>为使投标人有足够的时间按招标文件的修改要求修正投标文件，招标人可酌情推迟投标的截止日期和开标日期，并在提交投标文件截止时间</w:t>
      </w:r>
      <w:r>
        <w:rPr>
          <w:sz w:val="24"/>
          <w:szCs w:val="24"/>
        </w:rPr>
        <w:t>3</w:t>
      </w:r>
      <w:r>
        <w:rPr>
          <w:rFonts w:hint="eastAsia"/>
          <w:sz w:val="24"/>
          <w:szCs w:val="24"/>
        </w:rPr>
        <w:t>日前，书面通知所有登记备案并领取了招标文件的潜在投标人，同时在本次刊登招标公告的媒体上发布变更公告。招标人和投标人的权利及义务将受到新的截止期的约束。</w:t>
      </w:r>
    </w:p>
    <w:p>
      <w:pPr>
        <w:spacing w:line="360" w:lineRule="auto"/>
        <w:ind w:left="720" w:hanging="720" w:hangingChars="300"/>
        <w:rPr>
          <w:rFonts w:ascii="宋体"/>
        </w:rPr>
      </w:pPr>
      <w:r>
        <w:rPr>
          <w:rFonts w:ascii="宋体" w:hAnsi="宋体" w:cs="宋体"/>
        </w:rPr>
        <w:t xml:space="preserve">6.5   </w:t>
      </w:r>
      <w:r>
        <w:rPr>
          <w:rFonts w:hint="eastAsia" w:ascii="宋体" w:hAnsi="宋体" w:cs="宋体"/>
        </w:rPr>
        <w:t>招标人将视情况确定是否有必要召开标前会。如果召开标前会，招标人将通知所有已登记备案并领取了招标文件的潜在投标人。</w:t>
      </w:r>
    </w:p>
    <w:p>
      <w:pPr>
        <w:spacing w:line="360" w:lineRule="auto"/>
        <w:ind w:left="720" w:hanging="720" w:hangingChars="300"/>
        <w:rPr>
          <w:rFonts w:ascii="宋体"/>
        </w:rPr>
      </w:pPr>
    </w:p>
    <w:p>
      <w:pPr>
        <w:pStyle w:val="3"/>
        <w:numPr>
          <w:ilvl w:val="1"/>
          <w:numId w:val="0"/>
        </w:numPr>
        <w:spacing w:before="0" w:after="0" w:line="360" w:lineRule="auto"/>
        <w:ind w:left="14"/>
        <w:rPr>
          <w:rFonts w:ascii="宋体" w:hAnsi="宋体" w:eastAsia="宋体" w:cs="Times New Roman"/>
          <w:sz w:val="24"/>
          <w:szCs w:val="24"/>
        </w:rPr>
      </w:pPr>
      <w:bookmarkStart w:id="23" w:name="_Toc86202584"/>
      <w:bookmarkStart w:id="24" w:name="_Toc146597848"/>
      <w:bookmarkStart w:id="25" w:name="_Toc1429138"/>
      <w:bookmarkStart w:id="26" w:name="_Toc415831320"/>
      <w:bookmarkStart w:id="27" w:name="_Toc9372"/>
      <w:r>
        <w:rPr>
          <w:rFonts w:hint="eastAsia" w:ascii="宋体" w:hAnsi="宋体" w:eastAsia="宋体" w:cs="宋体"/>
          <w:sz w:val="24"/>
          <w:szCs w:val="24"/>
        </w:rPr>
        <w:t>三、投标文件</w:t>
      </w:r>
      <w:bookmarkEnd w:id="23"/>
      <w:bookmarkEnd w:id="24"/>
      <w:bookmarkEnd w:id="25"/>
      <w:bookmarkEnd w:id="26"/>
      <w:bookmarkEnd w:id="27"/>
    </w:p>
    <w:p>
      <w:pPr>
        <w:pStyle w:val="66"/>
        <w:tabs>
          <w:tab w:val="clear" w:pos="709"/>
        </w:tabs>
        <w:spacing w:line="360" w:lineRule="auto"/>
        <w:rPr>
          <w:sz w:val="24"/>
          <w:szCs w:val="24"/>
        </w:rPr>
      </w:pPr>
      <w:r>
        <w:rPr>
          <w:rFonts w:hint="eastAsia"/>
          <w:sz w:val="24"/>
          <w:szCs w:val="24"/>
        </w:rPr>
        <w:t>投标文件的语言和计量单位</w:t>
      </w:r>
    </w:p>
    <w:p>
      <w:pPr>
        <w:pStyle w:val="66"/>
        <w:numPr>
          <w:ilvl w:val="0"/>
          <w:numId w:val="0"/>
        </w:numPr>
        <w:spacing w:line="360" w:lineRule="auto"/>
        <w:ind w:left="720" w:hanging="720" w:hangingChars="300"/>
        <w:rPr>
          <w:sz w:val="24"/>
          <w:szCs w:val="24"/>
        </w:rPr>
      </w:pPr>
      <w:r>
        <w:rPr>
          <w:sz w:val="24"/>
          <w:szCs w:val="24"/>
        </w:rPr>
        <w:t xml:space="preserve">7.1   </w:t>
      </w:r>
      <w:r>
        <w:rPr>
          <w:rFonts w:hint="eastAsia"/>
          <w:sz w:val="24"/>
          <w:szCs w:val="24"/>
        </w:rPr>
        <w:t>投标人提交的投标文件以及投标人与招标人就有关投标的所有来往函电均应使用中文简体字。</w:t>
      </w:r>
    </w:p>
    <w:p>
      <w:pPr>
        <w:pStyle w:val="66"/>
        <w:numPr>
          <w:ilvl w:val="0"/>
          <w:numId w:val="0"/>
        </w:numPr>
        <w:spacing w:line="360" w:lineRule="auto"/>
        <w:ind w:left="720" w:hanging="720" w:hangingChars="300"/>
        <w:rPr>
          <w:sz w:val="24"/>
          <w:szCs w:val="24"/>
        </w:rPr>
      </w:pPr>
      <w:r>
        <w:rPr>
          <w:sz w:val="24"/>
          <w:szCs w:val="24"/>
        </w:rPr>
        <w:t xml:space="preserve">7.2   </w:t>
      </w:r>
      <w:r>
        <w:rPr>
          <w:rFonts w:hint="eastAsia"/>
          <w:sz w:val="24"/>
          <w:szCs w:val="24"/>
        </w:rPr>
        <w:t>投标人所提供的技术文件和资料，包括图纸中的说明（如有），应使用中文简体字。所使用的计量单位，应使用国家法定计量单位。</w:t>
      </w:r>
    </w:p>
    <w:p>
      <w:pPr>
        <w:pStyle w:val="66"/>
        <w:numPr>
          <w:ilvl w:val="0"/>
          <w:numId w:val="0"/>
        </w:numPr>
        <w:spacing w:line="360" w:lineRule="auto"/>
        <w:ind w:left="720" w:hanging="720" w:hangingChars="300"/>
        <w:rPr>
          <w:sz w:val="24"/>
          <w:szCs w:val="24"/>
        </w:rPr>
      </w:pPr>
    </w:p>
    <w:p>
      <w:pPr>
        <w:pStyle w:val="66"/>
        <w:tabs>
          <w:tab w:val="clear" w:pos="709"/>
        </w:tabs>
        <w:spacing w:line="360" w:lineRule="auto"/>
        <w:rPr>
          <w:sz w:val="24"/>
          <w:szCs w:val="24"/>
        </w:rPr>
      </w:pPr>
      <w:r>
        <w:rPr>
          <w:rFonts w:hint="eastAsia"/>
          <w:sz w:val="24"/>
          <w:szCs w:val="24"/>
        </w:rPr>
        <w:t>投标文件的组成及相关要求</w:t>
      </w:r>
    </w:p>
    <w:p>
      <w:pPr>
        <w:pStyle w:val="66"/>
        <w:numPr>
          <w:ilvl w:val="0"/>
          <w:numId w:val="0"/>
        </w:numPr>
        <w:spacing w:line="360" w:lineRule="auto"/>
        <w:rPr>
          <w:sz w:val="24"/>
          <w:szCs w:val="24"/>
        </w:rPr>
      </w:pPr>
      <w:r>
        <w:rPr>
          <w:sz w:val="24"/>
          <w:szCs w:val="24"/>
        </w:rPr>
        <w:t xml:space="preserve">8.1   </w:t>
      </w:r>
      <w:r>
        <w:rPr>
          <w:rFonts w:hint="eastAsia"/>
          <w:sz w:val="24"/>
          <w:szCs w:val="24"/>
        </w:rPr>
        <w:t>投标文件分为商务部分和技术部分。</w:t>
      </w:r>
    </w:p>
    <w:p>
      <w:pPr>
        <w:spacing w:line="360" w:lineRule="auto"/>
        <w:ind w:left="720" w:leftChars="300"/>
        <w:rPr>
          <w:rFonts w:ascii="宋体"/>
        </w:rPr>
      </w:pPr>
      <w:r>
        <w:rPr>
          <w:rFonts w:hint="eastAsia" w:ascii="宋体" w:hAnsi="宋体" w:cs="宋体"/>
        </w:rPr>
        <w:t>商务部分指投标人提交的证明其有资格参加投标和中标后有能力履行合同的文件。技术部分是能够证明投标人提供的服务符合招标文件规定的文件。本次招标投标人应按投标人须知前附表第</w:t>
      </w:r>
      <w:r>
        <w:rPr>
          <w:rFonts w:ascii="宋体" w:hAnsi="宋体" w:cs="宋体"/>
          <w:u w:val="single"/>
        </w:rPr>
        <w:t>4-6</w:t>
      </w:r>
      <w:r>
        <w:rPr>
          <w:rFonts w:hint="eastAsia" w:ascii="宋体" w:hAnsi="宋体" w:cs="宋体"/>
        </w:rPr>
        <w:t>条规定提交商务文件、技术文件和需要投标人自行编写的技术文件，</w:t>
      </w:r>
      <w:r>
        <w:rPr>
          <w:rFonts w:hint="eastAsia" w:ascii="宋体" w:hAnsi="宋体" w:cs="宋体"/>
          <w:b/>
          <w:bCs/>
        </w:rPr>
        <w:t>其中加</w:t>
      </w:r>
      <w:r>
        <w:rPr>
          <w:rFonts w:ascii="宋体" w:hAnsi="宋体" w:cs="宋体"/>
          <w:b/>
          <w:bCs/>
        </w:rPr>
        <w:t>*</w:t>
      </w:r>
      <w:r>
        <w:rPr>
          <w:rFonts w:hint="eastAsia" w:ascii="宋体" w:hAnsi="宋体" w:cs="宋体"/>
          <w:b/>
          <w:bCs/>
        </w:rPr>
        <w:t>项目若有缺失或无效，将被视为无效投标（具体要求详见招标文件第七部分）。</w:t>
      </w:r>
    </w:p>
    <w:p>
      <w:pPr>
        <w:pStyle w:val="66"/>
        <w:numPr>
          <w:ilvl w:val="0"/>
          <w:numId w:val="0"/>
        </w:numPr>
        <w:spacing w:line="360" w:lineRule="auto"/>
        <w:ind w:left="720" w:hanging="720" w:hangingChars="300"/>
        <w:rPr>
          <w:sz w:val="24"/>
          <w:szCs w:val="24"/>
        </w:rPr>
      </w:pPr>
      <w:r>
        <w:rPr>
          <w:kern w:val="2"/>
          <w:sz w:val="24"/>
          <w:szCs w:val="24"/>
        </w:rPr>
        <w:t xml:space="preserve">8.2   </w:t>
      </w:r>
      <w:r>
        <w:rPr>
          <w:rFonts w:hint="eastAsia"/>
          <w:sz w:val="24"/>
          <w:szCs w:val="24"/>
        </w:rPr>
        <w:t>投标人技术文件规格幅面（</w:t>
      </w:r>
      <w:r>
        <w:rPr>
          <w:sz w:val="24"/>
          <w:szCs w:val="24"/>
        </w:rPr>
        <w:t>A4</w:t>
      </w:r>
      <w:r>
        <w:rPr>
          <w:rFonts w:hint="eastAsia"/>
          <w:sz w:val="24"/>
          <w:szCs w:val="24"/>
        </w:rPr>
        <w:t>）应与正文一致，使用宋体小四号字，标题字号自定，按照招标文件规定的顺序，统一编目编码分包装订</w:t>
      </w:r>
      <w:r>
        <w:rPr>
          <w:rFonts w:hint="eastAsia"/>
          <w:b/>
          <w:bCs/>
          <w:sz w:val="24"/>
          <w:szCs w:val="24"/>
        </w:rPr>
        <w:t>（胶装）</w:t>
      </w:r>
      <w:r>
        <w:rPr>
          <w:rFonts w:hint="eastAsia"/>
          <w:sz w:val="24"/>
          <w:szCs w:val="24"/>
        </w:rPr>
        <w:t>。为方便评标，技术文件中的各项表格必须按照招标文件格式要求制作。</w:t>
      </w:r>
    </w:p>
    <w:p>
      <w:pPr>
        <w:pStyle w:val="66"/>
        <w:numPr>
          <w:ilvl w:val="0"/>
          <w:numId w:val="0"/>
        </w:numPr>
        <w:spacing w:line="360" w:lineRule="auto"/>
        <w:rPr>
          <w:sz w:val="24"/>
          <w:szCs w:val="24"/>
        </w:rPr>
      </w:pPr>
      <w:r>
        <w:rPr>
          <w:sz w:val="24"/>
          <w:szCs w:val="24"/>
        </w:rPr>
        <w:t xml:space="preserve">8.3   </w:t>
      </w:r>
      <w:r>
        <w:rPr>
          <w:rFonts w:hint="eastAsia"/>
          <w:sz w:val="24"/>
          <w:szCs w:val="24"/>
        </w:rPr>
        <w:t>投标保证金</w:t>
      </w:r>
    </w:p>
    <w:p>
      <w:pPr>
        <w:pStyle w:val="66"/>
        <w:numPr>
          <w:ilvl w:val="1"/>
          <w:numId w:val="9"/>
        </w:numPr>
        <w:tabs>
          <w:tab w:val="left" w:pos="1133"/>
          <w:tab w:val="clear" w:pos="1140"/>
        </w:tabs>
        <w:spacing w:line="360" w:lineRule="auto"/>
        <w:ind w:hanging="419"/>
        <w:rPr>
          <w:sz w:val="24"/>
          <w:szCs w:val="24"/>
        </w:rPr>
      </w:pPr>
      <w:r>
        <w:rPr>
          <w:rFonts w:hint="eastAsia"/>
          <w:sz w:val="24"/>
          <w:szCs w:val="24"/>
        </w:rPr>
        <w:t>投标人应提供的投标保证金额详见投标人须知前附表第</w:t>
      </w:r>
      <w:r>
        <w:rPr>
          <w:sz w:val="24"/>
          <w:szCs w:val="24"/>
          <w:u w:val="single"/>
        </w:rPr>
        <w:t>7</w:t>
      </w:r>
      <w:r>
        <w:rPr>
          <w:rFonts w:hint="eastAsia"/>
          <w:sz w:val="24"/>
          <w:szCs w:val="24"/>
        </w:rPr>
        <w:t>项。</w:t>
      </w:r>
    </w:p>
    <w:p>
      <w:pPr>
        <w:pStyle w:val="66"/>
        <w:numPr>
          <w:ilvl w:val="1"/>
          <w:numId w:val="9"/>
        </w:numPr>
        <w:tabs>
          <w:tab w:val="left" w:pos="1133"/>
          <w:tab w:val="clear" w:pos="1140"/>
        </w:tabs>
        <w:spacing w:line="360" w:lineRule="auto"/>
        <w:ind w:hanging="419"/>
        <w:rPr>
          <w:sz w:val="24"/>
          <w:szCs w:val="24"/>
        </w:rPr>
      </w:pPr>
      <w:r>
        <w:rPr>
          <w:rFonts w:hint="eastAsia"/>
          <w:sz w:val="24"/>
          <w:szCs w:val="24"/>
        </w:rPr>
        <w:t>投标保证金可采用下列形式之一：</w:t>
      </w:r>
      <w:r>
        <w:rPr>
          <w:rFonts w:hint="eastAsia"/>
          <w:b/>
          <w:bCs/>
          <w:sz w:val="24"/>
          <w:szCs w:val="24"/>
        </w:rPr>
        <w:t>转帐支票、银行汇票、电汇、投标担保函。</w:t>
      </w:r>
    </w:p>
    <w:p>
      <w:pPr>
        <w:pStyle w:val="66"/>
        <w:numPr>
          <w:ilvl w:val="0"/>
          <w:numId w:val="0"/>
        </w:numPr>
        <w:tabs>
          <w:tab w:val="left" w:pos="1106"/>
          <w:tab w:val="left" w:pos="1133"/>
        </w:tabs>
        <w:spacing w:line="360" w:lineRule="auto"/>
        <w:ind w:left="1104" w:leftChars="460"/>
        <w:rPr>
          <w:sz w:val="24"/>
          <w:szCs w:val="24"/>
        </w:rPr>
      </w:pPr>
      <w:r>
        <w:rPr>
          <w:rFonts w:hint="eastAsia"/>
          <w:sz w:val="24"/>
          <w:szCs w:val="24"/>
        </w:rPr>
        <w:t>投标人的投标保证金为支票和银行汇票形式的，须在提交投标文件的同时单独密封提交；投标保证金为汇款形式的，须在投标前汇到招标人上述指定的帐户，并将汇款单复印件加盖公章单独密封，在投标时提交。</w:t>
      </w:r>
    </w:p>
    <w:p>
      <w:pPr>
        <w:numPr>
          <w:ilvl w:val="1"/>
          <w:numId w:val="9"/>
        </w:numPr>
        <w:spacing w:line="360" w:lineRule="auto"/>
        <w:rPr>
          <w:rFonts w:ascii="宋体"/>
        </w:rPr>
      </w:pPr>
      <w:r>
        <w:rPr>
          <w:rFonts w:hint="eastAsia" w:ascii="宋体" w:hAnsi="宋体" w:cs="宋体"/>
        </w:rPr>
        <w:t>未按前述各款要求提交投标保证金的投标将被视为无效投标。</w:t>
      </w:r>
    </w:p>
    <w:p>
      <w:pPr>
        <w:numPr>
          <w:ilvl w:val="1"/>
          <w:numId w:val="9"/>
        </w:numPr>
        <w:spacing w:line="360" w:lineRule="auto"/>
        <w:rPr>
          <w:rFonts w:ascii="宋体"/>
        </w:rPr>
      </w:pPr>
      <w:r>
        <w:rPr>
          <w:rFonts w:hint="eastAsia" w:ascii="宋体" w:hAnsi="宋体" w:cs="宋体"/>
        </w:rPr>
        <w:t>中标人的投标保证金将在中标人与招标人签订合同后五个工作日内退还；未中标的投标人的投标保证金将在中标通知书发出后五个工作日内退还。</w:t>
      </w:r>
    </w:p>
    <w:p>
      <w:pPr>
        <w:pStyle w:val="66"/>
        <w:numPr>
          <w:ilvl w:val="0"/>
          <w:numId w:val="0"/>
        </w:numPr>
        <w:spacing w:line="360" w:lineRule="auto"/>
        <w:rPr>
          <w:sz w:val="24"/>
          <w:szCs w:val="24"/>
        </w:rPr>
      </w:pPr>
      <w:r>
        <w:rPr>
          <w:sz w:val="24"/>
          <w:szCs w:val="24"/>
        </w:rPr>
        <w:t xml:space="preserve">8.4  </w:t>
      </w:r>
      <w:r>
        <w:rPr>
          <w:rFonts w:hint="eastAsia"/>
          <w:sz w:val="24"/>
          <w:szCs w:val="24"/>
        </w:rPr>
        <w:t>投标报价</w:t>
      </w:r>
    </w:p>
    <w:p>
      <w:pPr>
        <w:pStyle w:val="66"/>
        <w:numPr>
          <w:ilvl w:val="0"/>
          <w:numId w:val="0"/>
        </w:numPr>
        <w:spacing w:line="360" w:lineRule="auto"/>
        <w:ind w:left="1228" w:leftChars="248" w:hanging="633" w:hangingChars="264"/>
        <w:rPr>
          <w:sz w:val="24"/>
          <w:szCs w:val="24"/>
        </w:rPr>
      </w:pPr>
      <w:r>
        <w:rPr>
          <w:rFonts w:hint="eastAsia"/>
          <w:sz w:val="24"/>
          <w:szCs w:val="24"/>
        </w:rPr>
        <w:t>（</w:t>
      </w:r>
      <w:r>
        <w:rPr>
          <w:sz w:val="24"/>
          <w:szCs w:val="24"/>
        </w:rPr>
        <w:t>1</w:t>
      </w:r>
      <w:r>
        <w:rPr>
          <w:rFonts w:hint="eastAsia"/>
          <w:sz w:val="24"/>
          <w:szCs w:val="24"/>
        </w:rPr>
        <w:t>）所有投标报价均以人民币元为计算单位。投标价格应该已经扣除所有同业折扣以及现金折扣。投标报价应已经包含了购买相关服务所需缴纳的所有税费和所需的一切费用，招标人不再支付其他任何额外费用。</w:t>
      </w:r>
    </w:p>
    <w:p>
      <w:pPr>
        <w:pStyle w:val="66"/>
        <w:numPr>
          <w:ilvl w:val="0"/>
          <w:numId w:val="0"/>
        </w:numPr>
        <w:spacing w:line="360" w:lineRule="auto"/>
        <w:ind w:left="1216" w:leftChars="265" w:hanging="580" w:hangingChars="242"/>
        <w:rPr>
          <w:sz w:val="24"/>
          <w:szCs w:val="24"/>
        </w:rPr>
      </w:pPr>
      <w:r>
        <w:rPr>
          <w:rFonts w:hint="eastAsia"/>
          <w:sz w:val="24"/>
          <w:szCs w:val="24"/>
        </w:rPr>
        <w:t>（</w:t>
      </w:r>
      <w:r>
        <w:rPr>
          <w:sz w:val="24"/>
          <w:szCs w:val="24"/>
        </w:rPr>
        <w:t>2</w:t>
      </w:r>
      <w:r>
        <w:rPr>
          <w:rFonts w:hint="eastAsia"/>
          <w:sz w:val="24"/>
          <w:szCs w:val="24"/>
        </w:rPr>
        <w:t>）投标人对投标报价若有说明应在开标一览表显著处注明，只有开标时唱出的报价和优惠才会在评标时予以考虑。招标人不接受可选择的投标方案和报价。任何有选择的或可调整的投标方案和报价将被视为非响应性投标而被拒绝。</w:t>
      </w:r>
    </w:p>
    <w:p>
      <w:pPr>
        <w:pStyle w:val="66"/>
        <w:numPr>
          <w:ilvl w:val="0"/>
          <w:numId w:val="0"/>
        </w:numPr>
        <w:spacing w:line="360" w:lineRule="auto"/>
        <w:ind w:left="1188" w:leftChars="255" w:hanging="576" w:hangingChars="240"/>
        <w:rPr>
          <w:sz w:val="24"/>
          <w:szCs w:val="24"/>
        </w:rPr>
      </w:pPr>
      <w:r>
        <w:rPr>
          <w:rFonts w:hint="eastAsia"/>
          <w:sz w:val="24"/>
          <w:szCs w:val="24"/>
        </w:rPr>
        <w:t>（</w:t>
      </w:r>
      <w:r>
        <w:rPr>
          <w:sz w:val="24"/>
          <w:szCs w:val="24"/>
        </w:rPr>
        <w:t>3</w:t>
      </w:r>
      <w:r>
        <w:rPr>
          <w:rFonts w:hint="eastAsia"/>
          <w:sz w:val="24"/>
          <w:szCs w:val="24"/>
        </w:rPr>
        <w:t>）投标人要按投标报价明细表</w:t>
      </w:r>
      <w:r>
        <w:rPr>
          <w:sz w:val="24"/>
          <w:szCs w:val="24"/>
        </w:rPr>
        <w:t>(</w:t>
      </w:r>
      <w:r>
        <w:rPr>
          <w:rFonts w:hint="eastAsia"/>
          <w:sz w:val="24"/>
          <w:szCs w:val="24"/>
        </w:rPr>
        <w:t>统一格式</w:t>
      </w:r>
      <w:r>
        <w:rPr>
          <w:sz w:val="24"/>
          <w:szCs w:val="24"/>
        </w:rPr>
        <w:t>)</w:t>
      </w:r>
      <w:r>
        <w:rPr>
          <w:rFonts w:hint="eastAsia"/>
          <w:sz w:val="24"/>
          <w:szCs w:val="24"/>
        </w:rPr>
        <w:t>的内容填写报价及其他事项，并由法定代表人或投标人代表签署。</w:t>
      </w:r>
    </w:p>
    <w:p>
      <w:pPr>
        <w:pStyle w:val="66"/>
        <w:numPr>
          <w:ilvl w:val="0"/>
          <w:numId w:val="0"/>
        </w:numPr>
        <w:spacing w:line="360" w:lineRule="auto"/>
        <w:ind w:left="1187" w:leftChars="261" w:hanging="561" w:hangingChars="234"/>
        <w:rPr>
          <w:sz w:val="24"/>
          <w:szCs w:val="24"/>
        </w:rPr>
      </w:pPr>
      <w:r>
        <w:rPr>
          <w:rFonts w:hint="eastAsia"/>
          <w:sz w:val="24"/>
          <w:szCs w:val="24"/>
        </w:rPr>
        <w:t>（</w:t>
      </w:r>
      <w:r>
        <w:rPr>
          <w:sz w:val="24"/>
          <w:szCs w:val="24"/>
        </w:rPr>
        <w:t>4</w:t>
      </w:r>
      <w:r>
        <w:rPr>
          <w:rFonts w:hint="eastAsia"/>
          <w:sz w:val="24"/>
          <w:szCs w:val="24"/>
        </w:rPr>
        <w:t>）最低报价不能作为中标的保证。</w:t>
      </w:r>
    </w:p>
    <w:p>
      <w:pPr>
        <w:pStyle w:val="66"/>
        <w:numPr>
          <w:ilvl w:val="0"/>
          <w:numId w:val="0"/>
        </w:numPr>
        <w:spacing w:line="360" w:lineRule="auto"/>
        <w:ind w:left="1188" w:leftChars="255" w:hanging="576" w:hangingChars="240"/>
        <w:rPr>
          <w:sz w:val="24"/>
          <w:szCs w:val="24"/>
        </w:rPr>
      </w:pPr>
      <w:r>
        <w:rPr>
          <w:rFonts w:hint="eastAsia"/>
          <w:sz w:val="24"/>
          <w:szCs w:val="24"/>
        </w:rPr>
        <w:t>（</w:t>
      </w:r>
      <w:r>
        <w:rPr>
          <w:sz w:val="24"/>
          <w:szCs w:val="24"/>
        </w:rPr>
        <w:t>5</w:t>
      </w:r>
      <w:r>
        <w:rPr>
          <w:rFonts w:hint="eastAsia"/>
          <w:sz w:val="24"/>
          <w:szCs w:val="24"/>
        </w:rPr>
        <w:t>）投标人最终报价不能高于项目预算，超过项目预算的投标将被视为无效投标。</w:t>
      </w:r>
    </w:p>
    <w:p>
      <w:pPr>
        <w:pStyle w:val="66"/>
        <w:numPr>
          <w:ilvl w:val="0"/>
          <w:numId w:val="0"/>
        </w:numPr>
        <w:spacing w:line="360" w:lineRule="auto"/>
        <w:ind w:left="777" w:leftChars="27" w:hanging="712" w:hangingChars="297"/>
        <w:rPr>
          <w:sz w:val="24"/>
          <w:szCs w:val="24"/>
        </w:rPr>
      </w:pPr>
      <w:r>
        <w:rPr>
          <w:sz w:val="24"/>
          <w:szCs w:val="24"/>
        </w:rPr>
        <w:t xml:space="preserve">9.    </w:t>
      </w:r>
      <w:r>
        <w:rPr>
          <w:rFonts w:hint="eastAsia"/>
          <w:sz w:val="24"/>
          <w:szCs w:val="24"/>
        </w:rPr>
        <w:t>本项目是否允许投标人将项目的非主体、非关键性工作交由他人完成详见投标人须知前附表第</w:t>
      </w:r>
      <w:r>
        <w:rPr>
          <w:sz w:val="24"/>
          <w:szCs w:val="24"/>
          <w:u w:val="single"/>
        </w:rPr>
        <w:t xml:space="preserve"> 8</w:t>
      </w:r>
      <w:r>
        <w:rPr>
          <w:rFonts w:hint="eastAsia"/>
          <w:sz w:val="24"/>
          <w:szCs w:val="24"/>
        </w:rPr>
        <w:t>条。投标人根据采购项目的实际情况</w:t>
      </w:r>
      <w:r>
        <w:rPr>
          <w:sz w:val="24"/>
          <w:szCs w:val="24"/>
        </w:rPr>
        <w:t>,</w:t>
      </w:r>
      <w:r>
        <w:rPr>
          <w:rFonts w:hint="eastAsia"/>
          <w:sz w:val="24"/>
          <w:szCs w:val="24"/>
        </w:rPr>
        <w:t>拟在中标后将中标项目的非主体、非关键性工作交由他人完成的，应当在投标文件中载明。</w:t>
      </w:r>
    </w:p>
    <w:p>
      <w:pPr>
        <w:pStyle w:val="66"/>
        <w:numPr>
          <w:ilvl w:val="0"/>
          <w:numId w:val="0"/>
        </w:numPr>
        <w:spacing w:line="360" w:lineRule="auto"/>
        <w:rPr>
          <w:sz w:val="24"/>
          <w:szCs w:val="24"/>
        </w:rPr>
      </w:pPr>
    </w:p>
    <w:p>
      <w:pPr>
        <w:pStyle w:val="66"/>
        <w:numPr>
          <w:ilvl w:val="0"/>
          <w:numId w:val="0"/>
        </w:numPr>
        <w:spacing w:line="360" w:lineRule="auto"/>
        <w:rPr>
          <w:sz w:val="24"/>
          <w:szCs w:val="24"/>
        </w:rPr>
      </w:pPr>
      <w:r>
        <w:rPr>
          <w:sz w:val="24"/>
          <w:szCs w:val="24"/>
        </w:rPr>
        <w:t xml:space="preserve">10.    </w:t>
      </w:r>
      <w:r>
        <w:rPr>
          <w:rFonts w:hint="eastAsia"/>
          <w:sz w:val="24"/>
          <w:szCs w:val="24"/>
        </w:rPr>
        <w:t>投标内容填写说明</w:t>
      </w:r>
    </w:p>
    <w:p>
      <w:pPr>
        <w:pStyle w:val="66"/>
        <w:numPr>
          <w:ilvl w:val="0"/>
          <w:numId w:val="0"/>
        </w:numPr>
        <w:spacing w:line="360" w:lineRule="auto"/>
        <w:ind w:left="840" w:hanging="840" w:hangingChars="350"/>
        <w:rPr>
          <w:sz w:val="24"/>
          <w:szCs w:val="24"/>
        </w:rPr>
      </w:pPr>
      <w:r>
        <w:rPr>
          <w:sz w:val="24"/>
          <w:szCs w:val="24"/>
        </w:rPr>
        <w:t xml:space="preserve">10.1   </w:t>
      </w:r>
      <w:r>
        <w:rPr>
          <w:rFonts w:hint="eastAsia"/>
          <w:sz w:val="24"/>
          <w:szCs w:val="24"/>
        </w:rPr>
        <w:t>投标人应详细阅读招标文件的全部内容。投标文件须对招标文件中的内容做出实质性和完整的响应，如果投标文件填报的</w:t>
      </w:r>
      <w:r>
        <w:rPr>
          <w:sz w:val="24"/>
          <w:szCs w:val="24"/>
        </w:rPr>
        <w:t>*</w:t>
      </w:r>
      <w:r>
        <w:rPr>
          <w:rFonts w:hint="eastAsia"/>
          <w:sz w:val="24"/>
          <w:szCs w:val="24"/>
        </w:rPr>
        <w:t>号条款内容资料不详，或没有提供招标文件中所要求</w:t>
      </w:r>
      <w:r>
        <w:rPr>
          <w:sz w:val="24"/>
          <w:szCs w:val="24"/>
        </w:rPr>
        <w:t>*</w:t>
      </w:r>
      <w:r>
        <w:rPr>
          <w:rFonts w:hint="eastAsia"/>
          <w:sz w:val="24"/>
          <w:szCs w:val="24"/>
        </w:rPr>
        <w:t>号的全部资料及数据，将被视为无效投标。</w:t>
      </w:r>
    </w:p>
    <w:p>
      <w:pPr>
        <w:pStyle w:val="66"/>
        <w:numPr>
          <w:ilvl w:val="0"/>
          <w:numId w:val="0"/>
        </w:numPr>
        <w:spacing w:line="360" w:lineRule="auto"/>
        <w:ind w:left="840" w:hanging="840" w:hangingChars="350"/>
        <w:rPr>
          <w:sz w:val="24"/>
          <w:szCs w:val="24"/>
        </w:rPr>
      </w:pPr>
      <w:r>
        <w:rPr>
          <w:sz w:val="24"/>
          <w:szCs w:val="24"/>
        </w:rPr>
        <w:t xml:space="preserve">10.2   </w:t>
      </w:r>
      <w:r>
        <w:rPr>
          <w:rFonts w:hint="eastAsia"/>
          <w:sz w:val="24"/>
          <w:szCs w:val="24"/>
        </w:rPr>
        <w:t>投标文件应严格按照招标文件规定的顺序装订成册</w:t>
      </w:r>
      <w:r>
        <w:rPr>
          <w:rFonts w:hint="eastAsia"/>
          <w:b/>
          <w:bCs/>
          <w:sz w:val="24"/>
          <w:szCs w:val="24"/>
        </w:rPr>
        <w:t>（胶装）</w:t>
      </w:r>
      <w:r>
        <w:rPr>
          <w:rFonts w:hint="eastAsia"/>
          <w:sz w:val="24"/>
          <w:szCs w:val="24"/>
        </w:rPr>
        <w:t>并编制目录，由于编排混乱导致投标文件被误读或查找不到，由投标人自行承担责任。</w:t>
      </w:r>
    </w:p>
    <w:p>
      <w:pPr>
        <w:pStyle w:val="66"/>
        <w:numPr>
          <w:ilvl w:val="0"/>
          <w:numId w:val="0"/>
        </w:numPr>
        <w:spacing w:line="360" w:lineRule="auto"/>
        <w:ind w:left="840" w:hanging="840" w:hangingChars="350"/>
        <w:rPr>
          <w:sz w:val="24"/>
          <w:szCs w:val="24"/>
        </w:rPr>
      </w:pPr>
      <w:r>
        <w:rPr>
          <w:sz w:val="24"/>
          <w:szCs w:val="24"/>
        </w:rPr>
        <w:t xml:space="preserve">10.3   </w:t>
      </w:r>
      <w:r>
        <w:rPr>
          <w:rFonts w:hint="eastAsia"/>
          <w:sz w:val="24"/>
          <w:szCs w:val="24"/>
        </w:rPr>
        <w:t>投标文件应严格按照招标文件第六部分的要求提交，并按规定的统一格式逐项填写，不准有空项；无相应内容可填的项应填写“无”、“未测试”、“没有相应指标”等明确的回答文字。投标文件未按规定提交或留有空项，将被视为不完整响应的投标文件，其投标有可能被拒绝。</w:t>
      </w:r>
    </w:p>
    <w:p>
      <w:pPr>
        <w:pStyle w:val="66"/>
        <w:numPr>
          <w:ilvl w:val="0"/>
          <w:numId w:val="0"/>
        </w:numPr>
        <w:spacing w:line="360" w:lineRule="auto"/>
        <w:ind w:left="812" w:hanging="14"/>
        <w:rPr>
          <w:sz w:val="24"/>
          <w:szCs w:val="24"/>
        </w:rPr>
      </w:pPr>
      <w:r>
        <w:rPr>
          <w:rFonts w:hint="eastAsia"/>
          <w:sz w:val="24"/>
          <w:szCs w:val="24"/>
        </w:rPr>
        <w:t>开标一览表为在开标仪式上唱标的内容，要求按格式统一填写，不得自行增减内容。</w:t>
      </w:r>
    </w:p>
    <w:p>
      <w:pPr>
        <w:pStyle w:val="66"/>
        <w:numPr>
          <w:ilvl w:val="0"/>
          <w:numId w:val="0"/>
        </w:numPr>
        <w:spacing w:line="360" w:lineRule="auto"/>
        <w:ind w:left="840" w:hanging="840" w:hangingChars="350"/>
        <w:rPr>
          <w:sz w:val="24"/>
          <w:szCs w:val="24"/>
        </w:rPr>
      </w:pPr>
      <w:r>
        <w:rPr>
          <w:sz w:val="24"/>
          <w:szCs w:val="24"/>
        </w:rPr>
        <w:t xml:space="preserve">10.4   </w:t>
      </w:r>
      <w:r>
        <w:rPr>
          <w:rFonts w:hint="eastAsia"/>
          <w:sz w:val="24"/>
          <w:szCs w:val="24"/>
        </w:rPr>
        <w:t>投标人必须保证投标文件所提供的全部资料真实可靠，并接受招标人或评标委员会对其中任何资料进一步审查的要求。</w:t>
      </w:r>
    </w:p>
    <w:p>
      <w:pPr>
        <w:spacing w:line="360" w:lineRule="auto"/>
        <w:jc w:val="both"/>
        <w:rPr>
          <w:rFonts w:ascii="宋体"/>
        </w:rPr>
      </w:pPr>
    </w:p>
    <w:p>
      <w:pPr>
        <w:pStyle w:val="66"/>
        <w:numPr>
          <w:ilvl w:val="0"/>
          <w:numId w:val="0"/>
        </w:numPr>
        <w:spacing w:line="360" w:lineRule="auto"/>
        <w:rPr>
          <w:sz w:val="24"/>
          <w:szCs w:val="24"/>
        </w:rPr>
      </w:pPr>
      <w:r>
        <w:rPr>
          <w:sz w:val="24"/>
          <w:szCs w:val="24"/>
        </w:rPr>
        <w:t xml:space="preserve">11.    </w:t>
      </w:r>
      <w:r>
        <w:rPr>
          <w:rFonts w:hint="eastAsia"/>
          <w:sz w:val="24"/>
          <w:szCs w:val="24"/>
        </w:rPr>
        <w:t>投标文件的有效期</w:t>
      </w:r>
    </w:p>
    <w:p>
      <w:pPr>
        <w:pStyle w:val="66"/>
        <w:numPr>
          <w:ilvl w:val="0"/>
          <w:numId w:val="0"/>
        </w:numPr>
        <w:spacing w:line="360" w:lineRule="auto"/>
        <w:ind w:left="840" w:hanging="840" w:hangingChars="350"/>
        <w:rPr>
          <w:sz w:val="24"/>
          <w:szCs w:val="24"/>
        </w:rPr>
      </w:pPr>
      <w:r>
        <w:rPr>
          <w:sz w:val="24"/>
          <w:szCs w:val="24"/>
        </w:rPr>
        <w:t xml:space="preserve">11.1   </w:t>
      </w:r>
      <w:r>
        <w:rPr>
          <w:rFonts w:hint="eastAsia"/>
          <w:sz w:val="24"/>
          <w:szCs w:val="24"/>
        </w:rPr>
        <w:t>本项目投标文件的有效期详见投标人须知前附表第</w:t>
      </w:r>
      <w:r>
        <w:rPr>
          <w:sz w:val="24"/>
          <w:szCs w:val="24"/>
          <w:u w:val="single"/>
        </w:rPr>
        <w:t>9</w:t>
      </w:r>
      <w:r>
        <w:rPr>
          <w:rFonts w:hint="eastAsia"/>
          <w:sz w:val="24"/>
          <w:szCs w:val="24"/>
        </w:rPr>
        <w:t>条。有效期短于该规定期限的投标将被拒绝。</w:t>
      </w:r>
    </w:p>
    <w:p>
      <w:pPr>
        <w:pStyle w:val="66"/>
        <w:numPr>
          <w:ilvl w:val="0"/>
          <w:numId w:val="0"/>
        </w:numPr>
        <w:spacing w:line="360" w:lineRule="auto"/>
        <w:ind w:left="840" w:hanging="840" w:hangingChars="350"/>
        <w:rPr>
          <w:sz w:val="24"/>
          <w:szCs w:val="24"/>
        </w:rPr>
      </w:pPr>
      <w:r>
        <w:rPr>
          <w:sz w:val="24"/>
          <w:szCs w:val="24"/>
        </w:rPr>
        <w:t xml:space="preserve">11.2   </w:t>
      </w:r>
      <w:r>
        <w:rPr>
          <w:rFonts w:hint="eastAsia"/>
          <w:sz w:val="24"/>
          <w:szCs w:val="24"/>
        </w:rPr>
        <w:t>在特殊情况下，招标人可与投标人协商延长投标文件的有效期。这种要求和答复都应以书面形式进行。此时，按本须知规定的投标保证金的有效期也相应延长。投标人可以拒绝接受延期要求而不会被没收保证金。同意延长有效期的投标人除按照招标人要求修改投标文件有效期外，不能修改投标文件的其他内容。</w:t>
      </w:r>
    </w:p>
    <w:p>
      <w:pPr>
        <w:spacing w:line="360" w:lineRule="auto"/>
        <w:ind w:left="821" w:hanging="820" w:hangingChars="342"/>
        <w:rPr>
          <w:rFonts w:ascii="宋体"/>
        </w:rPr>
      </w:pPr>
    </w:p>
    <w:p>
      <w:pPr>
        <w:pStyle w:val="66"/>
        <w:numPr>
          <w:ilvl w:val="0"/>
          <w:numId w:val="0"/>
        </w:numPr>
        <w:spacing w:line="360" w:lineRule="auto"/>
        <w:rPr>
          <w:sz w:val="24"/>
          <w:szCs w:val="24"/>
        </w:rPr>
      </w:pPr>
      <w:r>
        <w:rPr>
          <w:sz w:val="24"/>
          <w:szCs w:val="24"/>
        </w:rPr>
        <w:t xml:space="preserve">12.    </w:t>
      </w:r>
      <w:r>
        <w:rPr>
          <w:rFonts w:hint="eastAsia"/>
          <w:sz w:val="24"/>
          <w:szCs w:val="24"/>
        </w:rPr>
        <w:t>投标文件的签署及其他规定</w:t>
      </w:r>
    </w:p>
    <w:p>
      <w:pPr>
        <w:pStyle w:val="66"/>
        <w:numPr>
          <w:ilvl w:val="0"/>
          <w:numId w:val="0"/>
        </w:numPr>
        <w:spacing w:line="360" w:lineRule="auto"/>
        <w:rPr>
          <w:sz w:val="24"/>
          <w:szCs w:val="24"/>
        </w:rPr>
      </w:pPr>
      <w:r>
        <w:rPr>
          <w:sz w:val="24"/>
          <w:szCs w:val="24"/>
        </w:rPr>
        <w:t xml:space="preserve">12.1   </w:t>
      </w:r>
      <w:r>
        <w:rPr>
          <w:rFonts w:hint="eastAsia"/>
          <w:sz w:val="24"/>
          <w:szCs w:val="24"/>
        </w:rPr>
        <w:t>组成投标文件的各项文件均应遵守本条。</w:t>
      </w:r>
    </w:p>
    <w:p>
      <w:pPr>
        <w:pStyle w:val="66"/>
        <w:numPr>
          <w:ilvl w:val="0"/>
          <w:numId w:val="0"/>
        </w:numPr>
        <w:spacing w:line="360" w:lineRule="auto"/>
        <w:ind w:left="840" w:hanging="840" w:hangingChars="350"/>
        <w:rPr>
          <w:sz w:val="24"/>
          <w:szCs w:val="24"/>
        </w:rPr>
      </w:pPr>
      <w:r>
        <w:rPr>
          <w:sz w:val="24"/>
          <w:szCs w:val="24"/>
        </w:rPr>
        <w:t xml:space="preserve">12.2   </w:t>
      </w:r>
      <w:r>
        <w:rPr>
          <w:rFonts w:hint="eastAsia"/>
          <w:sz w:val="24"/>
          <w:szCs w:val="24"/>
        </w:rPr>
        <w:t>投标人应按照招标文件要求，在投标文件适当的位置填写投标人全称并加盖公章，同时签署法定代表人或投标人代表的全名。</w:t>
      </w:r>
    </w:p>
    <w:p>
      <w:pPr>
        <w:pStyle w:val="66"/>
        <w:numPr>
          <w:ilvl w:val="0"/>
          <w:numId w:val="0"/>
        </w:numPr>
        <w:spacing w:line="360" w:lineRule="auto"/>
        <w:rPr>
          <w:sz w:val="24"/>
          <w:szCs w:val="24"/>
        </w:rPr>
      </w:pPr>
      <w:r>
        <w:rPr>
          <w:sz w:val="24"/>
          <w:szCs w:val="24"/>
        </w:rPr>
        <w:t xml:space="preserve">12.3   </w:t>
      </w:r>
      <w:r>
        <w:rPr>
          <w:rFonts w:hint="eastAsia"/>
          <w:sz w:val="24"/>
          <w:szCs w:val="24"/>
        </w:rPr>
        <w:t>投标人应按投标人须知前附表第</w:t>
      </w:r>
      <w:r>
        <w:rPr>
          <w:sz w:val="24"/>
          <w:szCs w:val="24"/>
          <w:u w:val="single"/>
        </w:rPr>
        <w:t>10</w:t>
      </w:r>
      <w:r>
        <w:rPr>
          <w:rFonts w:hint="eastAsia"/>
          <w:sz w:val="24"/>
          <w:szCs w:val="24"/>
        </w:rPr>
        <w:t>条规定的份数提交投标文件。</w:t>
      </w:r>
    </w:p>
    <w:p>
      <w:pPr>
        <w:pStyle w:val="66"/>
        <w:numPr>
          <w:ilvl w:val="0"/>
          <w:numId w:val="0"/>
        </w:numPr>
        <w:spacing w:line="360" w:lineRule="auto"/>
        <w:ind w:left="823" w:leftChars="343" w:firstLine="76" w:firstLineChars="32"/>
        <w:rPr>
          <w:sz w:val="24"/>
          <w:szCs w:val="24"/>
        </w:rPr>
      </w:pPr>
      <w:r>
        <w:rPr>
          <w:rFonts w:hint="eastAsia"/>
          <w:sz w:val="24"/>
          <w:szCs w:val="24"/>
        </w:rPr>
        <w:t>⑴</w:t>
      </w:r>
      <w:r>
        <w:rPr>
          <w:sz w:val="24"/>
          <w:szCs w:val="24"/>
        </w:rPr>
        <w:t xml:space="preserve"> </w:t>
      </w:r>
      <w:r>
        <w:rPr>
          <w:rFonts w:hint="eastAsia"/>
          <w:sz w:val="24"/>
          <w:szCs w:val="24"/>
        </w:rPr>
        <w:t>如果要求提交投标文件电子文档，该文档应用不可擦写的刻录光盘（</w:t>
      </w:r>
      <w:r>
        <w:rPr>
          <w:sz w:val="24"/>
          <w:szCs w:val="24"/>
        </w:rPr>
        <w:t>CD-R</w:t>
      </w:r>
      <w:r>
        <w:rPr>
          <w:rFonts w:hint="eastAsia"/>
          <w:sz w:val="24"/>
          <w:szCs w:val="24"/>
        </w:rPr>
        <w:t>）为存储介质，并在盘面标注投标人全称、项目编号和所投的包号；投标文件电子文档应与投标文件正本纸介质的全部内容一致并按照正本的顺序编排，有关资格证明文件和证书、检验报告等应依原样扫描为电子文档，且清晰易读；</w:t>
      </w:r>
    </w:p>
    <w:p>
      <w:pPr>
        <w:spacing w:line="360" w:lineRule="auto"/>
        <w:ind w:left="826" w:leftChars="344" w:firstLine="2"/>
        <w:rPr>
          <w:rFonts w:ascii="宋体"/>
        </w:rPr>
      </w:pPr>
      <w:r>
        <w:rPr>
          <w:rFonts w:hint="eastAsia" w:ascii="宋体" w:hAnsi="宋体" w:cs="宋体"/>
        </w:rPr>
        <w:t>⑵</w:t>
      </w:r>
      <w:r>
        <w:rPr>
          <w:rFonts w:ascii="宋体" w:hAnsi="宋体" w:cs="宋体"/>
        </w:rPr>
        <w:t xml:space="preserve"> </w:t>
      </w:r>
      <w:r>
        <w:rPr>
          <w:rFonts w:hint="eastAsia" w:ascii="宋体" w:hAnsi="宋体" w:cs="宋体"/>
        </w:rPr>
        <w:t>投标人应保证投标文件副本与正本、电子文档与文本文档的内容严格一致，否则投标文件被误读或被视为无效等不利后果由投标人承担。</w:t>
      </w:r>
    </w:p>
    <w:p>
      <w:pPr>
        <w:pStyle w:val="66"/>
        <w:numPr>
          <w:ilvl w:val="0"/>
          <w:numId w:val="0"/>
        </w:numPr>
        <w:spacing w:line="360" w:lineRule="auto"/>
        <w:ind w:left="840" w:hanging="840" w:hangingChars="350"/>
        <w:rPr>
          <w:sz w:val="24"/>
          <w:szCs w:val="24"/>
        </w:rPr>
      </w:pPr>
      <w:r>
        <w:rPr>
          <w:sz w:val="24"/>
          <w:szCs w:val="24"/>
        </w:rPr>
        <w:t xml:space="preserve">12.4   </w:t>
      </w:r>
      <w:r>
        <w:rPr>
          <w:rFonts w:hint="eastAsia"/>
          <w:sz w:val="24"/>
          <w:szCs w:val="24"/>
        </w:rPr>
        <w:t>投标文件的正本必须用不褪色的蓝黑墨水填写或打印，注明“正本”字样，并由投标人的法定代表人或投标人代表签字。由投标人代表签字的，投标人代表须将书面形式的《法定代表人授权委托书》（按照招标文件格式填写）原件附在投标文件中，否则按投标无效处理。</w:t>
      </w:r>
    </w:p>
    <w:p>
      <w:pPr>
        <w:pStyle w:val="66"/>
        <w:numPr>
          <w:ilvl w:val="0"/>
          <w:numId w:val="0"/>
        </w:numPr>
        <w:spacing w:line="360" w:lineRule="auto"/>
        <w:ind w:left="840" w:hanging="840" w:hangingChars="350"/>
        <w:rPr>
          <w:sz w:val="24"/>
          <w:szCs w:val="24"/>
        </w:rPr>
      </w:pPr>
      <w:r>
        <w:rPr>
          <w:sz w:val="24"/>
          <w:szCs w:val="24"/>
        </w:rPr>
        <w:t xml:space="preserve">12.5   </w:t>
      </w:r>
      <w:r>
        <w:rPr>
          <w:rFonts w:hint="eastAsia"/>
          <w:sz w:val="24"/>
          <w:szCs w:val="24"/>
        </w:rPr>
        <w:t>投标文件应字迹清楚、内容齐全、不得涂改或增删。如有修改和增删，必须有投标人公章及法定代表人或其授权的投标人代表签字。</w:t>
      </w:r>
    </w:p>
    <w:p>
      <w:pPr>
        <w:pStyle w:val="66"/>
        <w:numPr>
          <w:ilvl w:val="0"/>
          <w:numId w:val="0"/>
        </w:numPr>
        <w:spacing w:line="360" w:lineRule="auto"/>
        <w:rPr>
          <w:sz w:val="24"/>
          <w:szCs w:val="24"/>
        </w:rPr>
      </w:pPr>
      <w:r>
        <w:rPr>
          <w:sz w:val="24"/>
          <w:szCs w:val="24"/>
        </w:rPr>
        <w:t xml:space="preserve">12.6   </w:t>
      </w:r>
      <w:r>
        <w:rPr>
          <w:rFonts w:hint="eastAsia"/>
          <w:sz w:val="24"/>
          <w:szCs w:val="24"/>
        </w:rPr>
        <w:t>因投标文件字迹潦草或表达不清所引起的不利后果由投标人承担。</w:t>
      </w:r>
    </w:p>
    <w:p>
      <w:pPr>
        <w:pStyle w:val="66"/>
        <w:numPr>
          <w:ilvl w:val="0"/>
          <w:numId w:val="0"/>
        </w:numPr>
        <w:spacing w:line="360" w:lineRule="auto"/>
        <w:rPr>
          <w:sz w:val="24"/>
          <w:szCs w:val="24"/>
        </w:rPr>
      </w:pPr>
    </w:p>
    <w:p>
      <w:pPr>
        <w:pStyle w:val="3"/>
        <w:numPr>
          <w:ilvl w:val="1"/>
          <w:numId w:val="0"/>
        </w:numPr>
        <w:spacing w:before="0" w:after="0" w:line="360" w:lineRule="auto"/>
        <w:rPr>
          <w:rFonts w:ascii="宋体" w:hAnsi="宋体" w:eastAsia="宋体" w:cs="Times New Roman"/>
          <w:sz w:val="24"/>
          <w:szCs w:val="24"/>
        </w:rPr>
      </w:pPr>
      <w:bookmarkStart w:id="28" w:name="_Toc415831321"/>
      <w:bookmarkStart w:id="29" w:name="_Toc146597849"/>
      <w:bookmarkStart w:id="30" w:name="_Toc10084"/>
      <w:bookmarkStart w:id="31" w:name="_Toc86202585"/>
      <w:bookmarkStart w:id="32" w:name="_Toc1429139"/>
      <w:r>
        <w:rPr>
          <w:rFonts w:hint="eastAsia" w:ascii="宋体" w:hAnsi="宋体" w:eastAsia="宋体" w:cs="宋体"/>
          <w:sz w:val="24"/>
          <w:szCs w:val="24"/>
        </w:rPr>
        <w:t>四、文件的递交</w:t>
      </w:r>
      <w:bookmarkEnd w:id="28"/>
      <w:bookmarkEnd w:id="29"/>
      <w:bookmarkEnd w:id="30"/>
      <w:bookmarkEnd w:id="31"/>
      <w:bookmarkEnd w:id="32"/>
    </w:p>
    <w:p>
      <w:pPr>
        <w:spacing w:line="360" w:lineRule="auto"/>
        <w:rPr>
          <w:rFonts w:ascii="宋体"/>
        </w:rPr>
      </w:pPr>
      <w:r>
        <w:rPr>
          <w:rFonts w:ascii="宋体" w:hAnsi="宋体" w:cs="宋体"/>
        </w:rPr>
        <w:t xml:space="preserve">13.   </w:t>
      </w:r>
      <w:r>
        <w:rPr>
          <w:rFonts w:hint="eastAsia" w:ascii="宋体" w:hAnsi="宋体" w:cs="宋体"/>
        </w:rPr>
        <w:t>投标文件的密封及标记</w:t>
      </w:r>
    </w:p>
    <w:p>
      <w:pPr>
        <w:pStyle w:val="66"/>
        <w:numPr>
          <w:ilvl w:val="0"/>
          <w:numId w:val="0"/>
        </w:numPr>
        <w:spacing w:line="360" w:lineRule="auto"/>
        <w:rPr>
          <w:sz w:val="24"/>
          <w:szCs w:val="24"/>
        </w:rPr>
      </w:pPr>
      <w:r>
        <w:rPr>
          <w:sz w:val="24"/>
          <w:szCs w:val="24"/>
        </w:rPr>
        <w:t xml:space="preserve">13.1  </w:t>
      </w:r>
      <w:r>
        <w:rPr>
          <w:rFonts w:hint="eastAsia"/>
          <w:sz w:val="24"/>
          <w:szCs w:val="24"/>
        </w:rPr>
        <w:t>投标文件应按以下方法分别装袋密封：</w:t>
      </w:r>
    </w:p>
    <w:p>
      <w:pPr>
        <w:numPr>
          <w:ilvl w:val="0"/>
          <w:numId w:val="10"/>
        </w:numPr>
        <w:spacing w:line="360" w:lineRule="auto"/>
        <w:rPr>
          <w:rFonts w:ascii="宋体"/>
        </w:rPr>
      </w:pPr>
      <w:r>
        <w:rPr>
          <w:rFonts w:hint="eastAsia" w:ascii="宋体" w:hAnsi="宋体" w:cs="宋体"/>
        </w:rPr>
        <w:t>投标文件密封袋内装投标文件正副本、电子文档（如果要求提交）及投标人认为有必要提交的其他资料。封口处应有法定代表人或授权代表的签字及投标人公章。封皮上写明项目编号、项目名称、投标人全称、地址，并注明“投标文件”及递交截止时间以后启封字样。</w:t>
      </w:r>
    </w:p>
    <w:p>
      <w:pPr>
        <w:numPr>
          <w:ilvl w:val="0"/>
          <w:numId w:val="10"/>
        </w:numPr>
        <w:spacing w:line="360" w:lineRule="auto"/>
        <w:rPr>
          <w:rFonts w:ascii="宋体"/>
        </w:rPr>
      </w:pPr>
      <w:r>
        <w:rPr>
          <w:rFonts w:hint="eastAsia" w:ascii="宋体" w:hAnsi="宋体" w:cs="宋体"/>
        </w:rPr>
        <w:t>为方便开标，开标一览表应另作一份单独放在一密封信封内</w:t>
      </w:r>
      <w:r>
        <w:rPr>
          <w:rFonts w:hint="eastAsia" w:ascii="宋体" w:hAnsi="宋体" w:cs="宋体"/>
          <w:b/>
          <w:bCs/>
        </w:rPr>
        <w:t>（此开标一览表与投标文件正本中开标一览表必须一致）</w:t>
      </w:r>
      <w:r>
        <w:rPr>
          <w:rFonts w:hint="eastAsia" w:ascii="宋体" w:hAnsi="宋体" w:cs="宋体"/>
        </w:rPr>
        <w:t>，封口处应有法定代表人或授权代表的签字及投标人公章。封皮上写明项目编号、项目名称、投标人全称、地址，并注明“开标一览表”及递交截止时间以后启封字样。</w:t>
      </w:r>
    </w:p>
    <w:p>
      <w:pPr>
        <w:numPr>
          <w:ilvl w:val="0"/>
          <w:numId w:val="10"/>
        </w:numPr>
        <w:spacing w:line="360" w:lineRule="auto"/>
        <w:rPr>
          <w:rFonts w:ascii="宋体"/>
        </w:rPr>
      </w:pPr>
      <w:r>
        <w:rPr>
          <w:rFonts w:hint="eastAsia" w:ascii="宋体" w:hAnsi="宋体" w:cs="宋体"/>
        </w:rPr>
        <w:t>为方便开标唱标，投标保证金应单独放在一个密封信封内一份，密封和签署要求同开标一览表，</w:t>
      </w:r>
      <w:r>
        <w:rPr>
          <w:rFonts w:hint="eastAsia" w:ascii="宋体" w:hAnsi="宋体" w:cs="宋体"/>
          <w:b/>
          <w:bCs/>
        </w:rPr>
        <w:t>投标保证金说明见招标文件第六部分</w:t>
      </w:r>
      <w:r>
        <w:rPr>
          <w:rFonts w:hint="eastAsia" w:ascii="宋体" w:hAnsi="宋体" w:cs="宋体"/>
        </w:rPr>
        <w:t>。</w:t>
      </w:r>
    </w:p>
    <w:p>
      <w:pPr>
        <w:pStyle w:val="66"/>
        <w:numPr>
          <w:ilvl w:val="0"/>
          <w:numId w:val="0"/>
        </w:numPr>
        <w:spacing w:line="360" w:lineRule="auto"/>
        <w:ind w:left="840" w:hanging="840" w:hangingChars="350"/>
        <w:rPr>
          <w:sz w:val="24"/>
          <w:szCs w:val="24"/>
        </w:rPr>
      </w:pPr>
      <w:r>
        <w:rPr>
          <w:sz w:val="24"/>
          <w:szCs w:val="24"/>
        </w:rPr>
        <w:t xml:space="preserve">13.2   </w:t>
      </w:r>
      <w:r>
        <w:rPr>
          <w:rFonts w:hint="eastAsia"/>
          <w:sz w:val="24"/>
          <w:szCs w:val="24"/>
        </w:rPr>
        <w:t>如果投标人未按上述要求对投标文件密封及加写标记，招标人对投标文件的误投和提前启封概不负责。对由此造成提前开封的投标文件，招标人有权予以拒绝，并退回投标人。</w:t>
      </w:r>
    </w:p>
    <w:p>
      <w:pPr>
        <w:spacing w:line="360" w:lineRule="auto"/>
        <w:ind w:left="821" w:hanging="820" w:hangingChars="342"/>
        <w:rPr>
          <w:rFonts w:ascii="宋体"/>
        </w:rPr>
      </w:pPr>
    </w:p>
    <w:p>
      <w:pPr>
        <w:pStyle w:val="66"/>
        <w:numPr>
          <w:ilvl w:val="0"/>
          <w:numId w:val="0"/>
        </w:numPr>
        <w:spacing w:line="360" w:lineRule="auto"/>
        <w:rPr>
          <w:sz w:val="24"/>
          <w:szCs w:val="24"/>
        </w:rPr>
      </w:pPr>
      <w:r>
        <w:rPr>
          <w:sz w:val="24"/>
          <w:szCs w:val="24"/>
        </w:rPr>
        <w:t xml:space="preserve">14.    </w:t>
      </w:r>
      <w:r>
        <w:rPr>
          <w:rFonts w:hint="eastAsia"/>
          <w:sz w:val="24"/>
          <w:szCs w:val="24"/>
        </w:rPr>
        <w:t>投标截止时间</w:t>
      </w:r>
    </w:p>
    <w:p>
      <w:pPr>
        <w:pStyle w:val="66"/>
        <w:numPr>
          <w:ilvl w:val="0"/>
          <w:numId w:val="0"/>
        </w:numPr>
        <w:spacing w:line="360" w:lineRule="auto"/>
        <w:ind w:left="840" w:hanging="840" w:hangingChars="350"/>
        <w:rPr>
          <w:sz w:val="24"/>
          <w:szCs w:val="24"/>
        </w:rPr>
      </w:pPr>
      <w:r>
        <w:rPr>
          <w:sz w:val="24"/>
          <w:szCs w:val="24"/>
        </w:rPr>
        <w:t xml:space="preserve">14.1   </w:t>
      </w:r>
      <w:r>
        <w:rPr>
          <w:rFonts w:hint="eastAsia"/>
          <w:sz w:val="24"/>
          <w:szCs w:val="24"/>
        </w:rPr>
        <w:t>投标文件须按照招标文件规定的投标时间、地点送达。在投标截止时间以后送达的投标文件，招标人拒绝接收。</w:t>
      </w:r>
    </w:p>
    <w:p>
      <w:pPr>
        <w:pStyle w:val="66"/>
        <w:numPr>
          <w:ilvl w:val="0"/>
          <w:numId w:val="0"/>
        </w:numPr>
        <w:spacing w:line="360" w:lineRule="auto"/>
        <w:rPr>
          <w:sz w:val="24"/>
          <w:szCs w:val="24"/>
        </w:rPr>
      </w:pPr>
      <w:r>
        <w:rPr>
          <w:sz w:val="24"/>
          <w:szCs w:val="24"/>
        </w:rPr>
        <w:t xml:space="preserve">15.    </w:t>
      </w:r>
      <w:r>
        <w:rPr>
          <w:rFonts w:hint="eastAsia"/>
          <w:sz w:val="24"/>
          <w:szCs w:val="24"/>
        </w:rPr>
        <w:t>投标文件的补充、修改和撤回</w:t>
      </w:r>
    </w:p>
    <w:p>
      <w:pPr>
        <w:pStyle w:val="66"/>
        <w:numPr>
          <w:ilvl w:val="0"/>
          <w:numId w:val="0"/>
        </w:numPr>
        <w:spacing w:line="360" w:lineRule="auto"/>
        <w:ind w:left="840" w:hanging="840" w:hangingChars="350"/>
        <w:rPr>
          <w:sz w:val="24"/>
          <w:szCs w:val="24"/>
        </w:rPr>
      </w:pPr>
      <w:r>
        <w:rPr>
          <w:sz w:val="24"/>
          <w:szCs w:val="24"/>
        </w:rPr>
        <w:t xml:space="preserve">15.1   </w:t>
      </w:r>
      <w:r>
        <w:rPr>
          <w:rFonts w:hint="eastAsia"/>
          <w:sz w:val="24"/>
          <w:szCs w:val="24"/>
        </w:rPr>
        <w:t>投标人可以在投标截止时间前</w:t>
      </w:r>
      <w:r>
        <w:rPr>
          <w:sz w:val="24"/>
          <w:szCs w:val="24"/>
        </w:rPr>
        <w:t>,</w:t>
      </w:r>
      <w:r>
        <w:rPr>
          <w:rFonts w:hint="eastAsia"/>
          <w:sz w:val="24"/>
          <w:szCs w:val="24"/>
        </w:rPr>
        <w:t>对所递交的投标文件进行补充、修改或者撤回，并以书面形式通知招标人，补充、修改和撤标要求须经招标人签字确认接受，否则无效。</w:t>
      </w:r>
    </w:p>
    <w:p>
      <w:pPr>
        <w:pStyle w:val="66"/>
        <w:numPr>
          <w:ilvl w:val="0"/>
          <w:numId w:val="0"/>
        </w:numPr>
        <w:spacing w:line="360" w:lineRule="auto"/>
        <w:ind w:left="840" w:hanging="840" w:hangingChars="350"/>
        <w:rPr>
          <w:sz w:val="24"/>
          <w:szCs w:val="24"/>
        </w:rPr>
      </w:pPr>
      <w:r>
        <w:rPr>
          <w:sz w:val="24"/>
          <w:szCs w:val="24"/>
        </w:rPr>
        <w:t xml:space="preserve">15.2   </w:t>
      </w:r>
      <w:r>
        <w:rPr>
          <w:rFonts w:hint="eastAsia"/>
          <w:sz w:val="24"/>
          <w:szCs w:val="24"/>
        </w:rPr>
        <w:t>投标人撤回投标的要求应由投标人法定代表人或投标人代表签署，补充、修改投标文件的书面材料，应当按照招标文件要求签署、盖章，作为投标文件的组成部分，密封送达开标地点，同时应在封套上标明“修改投标文件</w:t>
      </w:r>
      <w:r>
        <w:rPr>
          <w:sz w:val="24"/>
          <w:szCs w:val="24"/>
        </w:rPr>
        <w:t>(</w:t>
      </w:r>
      <w:r>
        <w:rPr>
          <w:rFonts w:hint="eastAsia"/>
          <w:sz w:val="24"/>
          <w:szCs w:val="24"/>
        </w:rPr>
        <w:t>并注明项目编号</w:t>
      </w:r>
      <w:r>
        <w:rPr>
          <w:sz w:val="24"/>
          <w:szCs w:val="24"/>
        </w:rPr>
        <w:t>)</w:t>
      </w:r>
      <w:r>
        <w:rPr>
          <w:rFonts w:hint="eastAsia"/>
          <w:sz w:val="24"/>
          <w:szCs w:val="24"/>
        </w:rPr>
        <w:t>”和“开标时启封”字样。</w:t>
      </w:r>
    </w:p>
    <w:p>
      <w:pPr>
        <w:pStyle w:val="66"/>
        <w:numPr>
          <w:ilvl w:val="0"/>
          <w:numId w:val="0"/>
        </w:numPr>
        <w:spacing w:line="360" w:lineRule="auto"/>
        <w:rPr>
          <w:sz w:val="24"/>
          <w:szCs w:val="24"/>
        </w:rPr>
      </w:pPr>
      <w:r>
        <w:rPr>
          <w:sz w:val="24"/>
          <w:szCs w:val="24"/>
        </w:rPr>
        <w:t xml:space="preserve">15.3   </w:t>
      </w:r>
      <w:r>
        <w:rPr>
          <w:rFonts w:hint="eastAsia"/>
          <w:sz w:val="24"/>
          <w:szCs w:val="24"/>
        </w:rPr>
        <w:t>在投标截止时间之后，投标人不得撤回投标。</w:t>
      </w:r>
    </w:p>
    <w:p>
      <w:pPr>
        <w:pStyle w:val="66"/>
        <w:numPr>
          <w:ilvl w:val="0"/>
          <w:numId w:val="0"/>
        </w:numPr>
        <w:spacing w:line="360" w:lineRule="auto"/>
        <w:rPr>
          <w:sz w:val="24"/>
          <w:szCs w:val="24"/>
        </w:rPr>
      </w:pPr>
    </w:p>
    <w:p>
      <w:pPr>
        <w:pStyle w:val="3"/>
        <w:numPr>
          <w:ilvl w:val="1"/>
          <w:numId w:val="0"/>
        </w:numPr>
        <w:spacing w:before="0" w:after="0" w:line="360" w:lineRule="auto"/>
        <w:rPr>
          <w:rFonts w:ascii="宋体" w:hAnsi="宋体" w:eastAsia="宋体" w:cs="Times New Roman"/>
          <w:sz w:val="24"/>
          <w:szCs w:val="24"/>
        </w:rPr>
      </w:pPr>
      <w:bookmarkStart w:id="33" w:name="_Toc1429140"/>
      <w:bookmarkStart w:id="34" w:name="_Toc25304"/>
      <w:bookmarkStart w:id="35" w:name="_Toc86202586"/>
      <w:bookmarkStart w:id="36" w:name="_Toc415831322"/>
      <w:bookmarkStart w:id="37" w:name="_Toc146597850"/>
      <w:r>
        <w:rPr>
          <w:rFonts w:hint="eastAsia" w:ascii="宋体" w:hAnsi="宋体" w:eastAsia="宋体" w:cs="宋体"/>
          <w:sz w:val="24"/>
          <w:szCs w:val="24"/>
        </w:rPr>
        <w:t>五、开标</w:t>
      </w:r>
      <w:bookmarkEnd w:id="33"/>
      <w:bookmarkEnd w:id="34"/>
      <w:bookmarkEnd w:id="35"/>
      <w:bookmarkEnd w:id="36"/>
      <w:bookmarkEnd w:id="37"/>
    </w:p>
    <w:p>
      <w:pPr>
        <w:pStyle w:val="66"/>
        <w:numPr>
          <w:ilvl w:val="0"/>
          <w:numId w:val="11"/>
        </w:numPr>
        <w:spacing w:line="360" w:lineRule="auto"/>
        <w:rPr>
          <w:sz w:val="24"/>
          <w:szCs w:val="24"/>
        </w:rPr>
      </w:pPr>
      <w:r>
        <w:rPr>
          <w:rFonts w:hint="eastAsia"/>
          <w:sz w:val="24"/>
          <w:szCs w:val="24"/>
        </w:rPr>
        <w:t>开标</w:t>
      </w:r>
    </w:p>
    <w:p>
      <w:pPr>
        <w:pStyle w:val="66"/>
        <w:numPr>
          <w:ilvl w:val="0"/>
          <w:numId w:val="0"/>
        </w:numPr>
        <w:spacing w:line="360" w:lineRule="auto"/>
        <w:ind w:left="720" w:hanging="720" w:hangingChars="300"/>
        <w:rPr>
          <w:sz w:val="24"/>
          <w:szCs w:val="24"/>
        </w:rPr>
      </w:pPr>
      <w:r>
        <w:rPr>
          <w:sz w:val="24"/>
          <w:szCs w:val="24"/>
        </w:rPr>
        <w:t xml:space="preserve">16.1  </w:t>
      </w:r>
      <w:r>
        <w:rPr>
          <w:rFonts w:hint="eastAsia"/>
          <w:sz w:val="24"/>
          <w:szCs w:val="24"/>
        </w:rPr>
        <w:t>招标人按招标文件规定的时间、地点主持公开开标，招标人代表、投标人代表及有关工作人员参加。</w:t>
      </w:r>
    </w:p>
    <w:p>
      <w:pPr>
        <w:pStyle w:val="66"/>
        <w:numPr>
          <w:ilvl w:val="0"/>
          <w:numId w:val="0"/>
        </w:numPr>
        <w:spacing w:line="360" w:lineRule="auto"/>
        <w:ind w:left="720" w:hanging="720" w:hangingChars="300"/>
        <w:rPr>
          <w:sz w:val="24"/>
          <w:szCs w:val="24"/>
        </w:rPr>
      </w:pPr>
      <w:r>
        <w:rPr>
          <w:sz w:val="24"/>
          <w:szCs w:val="24"/>
        </w:rPr>
        <w:t xml:space="preserve">16.2  </w:t>
      </w:r>
      <w:r>
        <w:rPr>
          <w:rFonts w:hint="eastAsia"/>
          <w:sz w:val="24"/>
          <w:szCs w:val="24"/>
        </w:rPr>
        <w:t>投标人参加开标的代表必须签名报到以证明出席。</w:t>
      </w:r>
    </w:p>
    <w:p>
      <w:pPr>
        <w:pStyle w:val="66"/>
        <w:numPr>
          <w:ilvl w:val="0"/>
          <w:numId w:val="0"/>
        </w:numPr>
        <w:spacing w:line="360" w:lineRule="auto"/>
        <w:rPr>
          <w:sz w:val="24"/>
          <w:szCs w:val="24"/>
        </w:rPr>
      </w:pPr>
      <w:r>
        <w:rPr>
          <w:sz w:val="24"/>
          <w:szCs w:val="24"/>
        </w:rPr>
        <w:t xml:space="preserve">16.3  </w:t>
      </w:r>
      <w:r>
        <w:rPr>
          <w:rFonts w:hint="eastAsia"/>
          <w:sz w:val="24"/>
          <w:szCs w:val="24"/>
        </w:rPr>
        <w:t>开标时查验投标文件密封情况，确认无误后拆封唱标。</w:t>
      </w:r>
    </w:p>
    <w:p>
      <w:pPr>
        <w:pStyle w:val="66"/>
        <w:numPr>
          <w:ilvl w:val="1"/>
          <w:numId w:val="12"/>
        </w:numPr>
        <w:tabs>
          <w:tab w:val="left" w:pos="720"/>
          <w:tab w:val="clear" w:pos="360"/>
          <w:tab w:val="clear" w:pos="709"/>
        </w:tabs>
        <w:spacing w:line="360" w:lineRule="auto"/>
        <w:ind w:left="720" w:hanging="720"/>
        <w:rPr>
          <w:sz w:val="24"/>
          <w:szCs w:val="24"/>
        </w:rPr>
      </w:pPr>
      <w:r>
        <w:rPr>
          <w:rFonts w:hint="eastAsia"/>
          <w:sz w:val="24"/>
          <w:szCs w:val="24"/>
        </w:rPr>
        <w:t>开标时，招标人将当众宣读投标人名称、投标价格、书面补充、修改和撤回投标的通知以及招标人认为适当的其他内容。投标人若有报价和优惠未被唱出，应在该报价唱标的同时及时声明或提请注意，否则招标人对此不承担任何责任。</w:t>
      </w:r>
    </w:p>
    <w:p>
      <w:pPr>
        <w:pStyle w:val="66"/>
        <w:numPr>
          <w:ilvl w:val="1"/>
          <w:numId w:val="12"/>
        </w:numPr>
        <w:tabs>
          <w:tab w:val="left" w:pos="720"/>
          <w:tab w:val="clear" w:pos="360"/>
          <w:tab w:val="clear" w:pos="709"/>
        </w:tabs>
        <w:spacing w:line="360" w:lineRule="auto"/>
        <w:ind w:left="720" w:hanging="720"/>
        <w:rPr>
          <w:sz w:val="24"/>
          <w:szCs w:val="24"/>
        </w:rPr>
      </w:pPr>
      <w:r>
        <w:rPr>
          <w:rFonts w:hint="eastAsia"/>
          <w:sz w:val="24"/>
          <w:szCs w:val="24"/>
        </w:rPr>
        <w:t>招标人将做开标记录并在开标后要求法定代表人或投标人代表签字确认。</w:t>
      </w:r>
    </w:p>
    <w:p>
      <w:pPr>
        <w:spacing w:line="360" w:lineRule="auto"/>
        <w:rPr>
          <w:rFonts w:ascii="宋体"/>
        </w:rPr>
      </w:pPr>
    </w:p>
    <w:p>
      <w:pPr>
        <w:pStyle w:val="3"/>
        <w:numPr>
          <w:ilvl w:val="1"/>
          <w:numId w:val="0"/>
        </w:numPr>
        <w:spacing w:before="0" w:after="0" w:line="360" w:lineRule="auto"/>
        <w:rPr>
          <w:rFonts w:ascii="宋体" w:hAnsi="宋体" w:eastAsia="宋体" w:cs="Times New Roman"/>
          <w:sz w:val="24"/>
          <w:szCs w:val="24"/>
        </w:rPr>
      </w:pPr>
      <w:bookmarkStart w:id="38" w:name="_Toc146597851"/>
      <w:bookmarkStart w:id="39" w:name="_Toc415831323"/>
      <w:bookmarkStart w:id="40" w:name="_Toc26820"/>
      <w:bookmarkStart w:id="41" w:name="_Toc1429141"/>
      <w:r>
        <w:rPr>
          <w:rFonts w:hint="eastAsia" w:ascii="宋体" w:hAnsi="宋体" w:eastAsia="宋体" w:cs="宋体"/>
          <w:sz w:val="24"/>
          <w:szCs w:val="24"/>
        </w:rPr>
        <w:t>六、评标步骤和要求</w:t>
      </w:r>
      <w:bookmarkEnd w:id="38"/>
      <w:bookmarkEnd w:id="39"/>
      <w:bookmarkEnd w:id="40"/>
      <w:bookmarkEnd w:id="41"/>
    </w:p>
    <w:p>
      <w:pPr>
        <w:pStyle w:val="66"/>
        <w:numPr>
          <w:ilvl w:val="0"/>
          <w:numId w:val="11"/>
        </w:numPr>
        <w:tabs>
          <w:tab w:val="left" w:pos="-1800"/>
          <w:tab w:val="left" w:pos="993"/>
          <w:tab w:val="clear" w:pos="735"/>
        </w:tabs>
        <w:spacing w:line="360" w:lineRule="auto"/>
        <w:rPr>
          <w:sz w:val="24"/>
          <w:szCs w:val="24"/>
        </w:rPr>
      </w:pPr>
      <w:r>
        <w:rPr>
          <w:rFonts w:hint="eastAsia"/>
          <w:sz w:val="24"/>
          <w:szCs w:val="24"/>
        </w:rPr>
        <w:t>组建评标委员会</w:t>
      </w:r>
    </w:p>
    <w:p>
      <w:pPr>
        <w:pStyle w:val="66"/>
        <w:numPr>
          <w:ilvl w:val="0"/>
          <w:numId w:val="0"/>
        </w:numPr>
        <w:spacing w:line="360" w:lineRule="auto"/>
        <w:ind w:left="684" w:hanging="684" w:hangingChars="285"/>
        <w:rPr>
          <w:sz w:val="24"/>
          <w:szCs w:val="24"/>
        </w:rPr>
      </w:pPr>
      <w:r>
        <w:rPr>
          <w:sz w:val="24"/>
          <w:szCs w:val="24"/>
        </w:rPr>
        <w:t xml:space="preserve">17.1  </w:t>
      </w:r>
      <w:r>
        <w:rPr>
          <w:rFonts w:hint="eastAsia"/>
          <w:sz w:val="24"/>
          <w:szCs w:val="24"/>
        </w:rPr>
        <w:t>招标人根据有关法律法规和本招标文件的规定，结合本招标项目的特点组建评标委员会，对具备实质性响应的投标文件进行评估和比较。</w:t>
      </w:r>
      <w:r>
        <w:rPr>
          <w:sz w:val="24"/>
          <w:szCs w:val="24"/>
        </w:rPr>
        <w:t xml:space="preserve"> </w:t>
      </w:r>
    </w:p>
    <w:p>
      <w:pPr>
        <w:pStyle w:val="66"/>
        <w:numPr>
          <w:ilvl w:val="0"/>
          <w:numId w:val="11"/>
        </w:numPr>
        <w:spacing w:line="360" w:lineRule="auto"/>
        <w:rPr>
          <w:sz w:val="24"/>
          <w:szCs w:val="24"/>
        </w:rPr>
      </w:pPr>
      <w:r>
        <w:rPr>
          <w:rFonts w:hint="eastAsia"/>
          <w:sz w:val="24"/>
          <w:szCs w:val="24"/>
        </w:rPr>
        <w:t>对投标文件的初审</w:t>
      </w:r>
    </w:p>
    <w:p>
      <w:pPr>
        <w:pStyle w:val="66"/>
        <w:numPr>
          <w:ilvl w:val="1"/>
          <w:numId w:val="13"/>
        </w:numPr>
        <w:spacing w:line="360" w:lineRule="auto"/>
        <w:ind w:left="720" w:hanging="720"/>
        <w:rPr>
          <w:sz w:val="24"/>
          <w:szCs w:val="24"/>
        </w:rPr>
      </w:pPr>
      <w:r>
        <w:rPr>
          <w:sz w:val="24"/>
          <w:szCs w:val="24"/>
        </w:rPr>
        <w:t xml:space="preserve">  </w:t>
      </w:r>
      <w:r>
        <w:rPr>
          <w:rFonts w:hint="eastAsia"/>
          <w:sz w:val="24"/>
          <w:szCs w:val="24"/>
        </w:rPr>
        <w:t>开标后，评标委员会将审查投标文件是否符合招标文件的基本要求：内容是否完整、</w:t>
      </w:r>
      <w:r>
        <w:rPr>
          <w:sz w:val="24"/>
          <w:szCs w:val="24"/>
        </w:rPr>
        <w:t xml:space="preserve"> </w:t>
      </w:r>
      <w:r>
        <w:rPr>
          <w:rFonts w:hint="eastAsia"/>
          <w:sz w:val="24"/>
          <w:szCs w:val="24"/>
        </w:rPr>
        <w:t>资格证明文件是否齐全、有无计算错误、文件签署是否齐全及验证保证金。</w:t>
      </w:r>
    </w:p>
    <w:p>
      <w:pPr>
        <w:pStyle w:val="66"/>
        <w:numPr>
          <w:ilvl w:val="1"/>
          <w:numId w:val="13"/>
        </w:numPr>
        <w:tabs>
          <w:tab w:val="left" w:pos="720"/>
          <w:tab w:val="clear" w:pos="480"/>
          <w:tab w:val="clear" w:pos="709"/>
        </w:tabs>
        <w:spacing w:line="360" w:lineRule="auto"/>
        <w:ind w:left="720" w:hanging="720"/>
        <w:rPr>
          <w:sz w:val="24"/>
          <w:szCs w:val="24"/>
        </w:rPr>
      </w:pPr>
      <w:r>
        <w:rPr>
          <w:rFonts w:hint="eastAsia"/>
          <w:sz w:val="24"/>
          <w:szCs w:val="24"/>
        </w:rPr>
        <w:t>在详细评标之前，评标委员会要审查每份投标文件是否实质上响应了招标文件的要求。</w:t>
      </w:r>
    </w:p>
    <w:p>
      <w:pPr>
        <w:spacing w:line="360" w:lineRule="auto"/>
        <w:ind w:left="1260" w:leftChars="300" w:hanging="540" w:hangingChars="225"/>
        <w:rPr>
          <w:rFonts w:ascii="宋体"/>
        </w:rPr>
      </w:pPr>
      <w:r>
        <w:rPr>
          <w:rFonts w:hint="eastAsia" w:ascii="宋体" w:hAnsi="宋体" w:cs="宋体"/>
        </w:rPr>
        <w:t>（</w:t>
      </w:r>
      <w:r>
        <w:rPr>
          <w:rFonts w:ascii="宋体" w:hAnsi="宋体" w:cs="宋体"/>
        </w:rPr>
        <w:t>1</w:t>
      </w:r>
      <w:r>
        <w:rPr>
          <w:rFonts w:hint="eastAsia" w:ascii="宋体" w:hAnsi="宋体" w:cs="宋体"/>
        </w:rPr>
        <w:t>）实质上响应的投标是指与招标文件的全部条款、条件相符，没有重大偏离或保留。</w:t>
      </w:r>
    </w:p>
    <w:p>
      <w:pPr>
        <w:spacing w:line="360" w:lineRule="auto"/>
        <w:ind w:left="1260" w:leftChars="300" w:hanging="540" w:hangingChars="225"/>
        <w:rPr>
          <w:rFonts w:ascii="宋体"/>
        </w:rPr>
      </w:pPr>
      <w:r>
        <w:rPr>
          <w:rFonts w:hint="eastAsia" w:ascii="宋体" w:hAnsi="宋体" w:cs="宋体"/>
        </w:rPr>
        <w:t>（</w:t>
      </w:r>
      <w:r>
        <w:rPr>
          <w:rFonts w:ascii="宋体" w:hAnsi="宋体" w:cs="宋体"/>
        </w:rPr>
        <w:t>2</w:t>
      </w:r>
      <w:r>
        <w:rPr>
          <w:rFonts w:hint="eastAsia" w:ascii="宋体" w:hAnsi="宋体" w:cs="宋体"/>
        </w:rPr>
        <w:t>）重大偏离或保留系指投标服务方案和完成期限等明显不能满足招标文件的要求，或者实质上与招标文件不一致，而且限制了招标人的权利或投标人的义务，纠正这些偏离或保留将对其他实质上响应要求的投标人的竞争地位产生不公正的影响。包括但不限于：</w:t>
      </w:r>
    </w:p>
    <w:p>
      <w:pPr>
        <w:numPr>
          <w:ilvl w:val="0"/>
          <w:numId w:val="14"/>
        </w:numPr>
        <w:tabs>
          <w:tab w:val="left" w:pos="-2700"/>
          <w:tab w:val="clear" w:pos="840"/>
        </w:tabs>
        <w:spacing w:line="360" w:lineRule="auto"/>
        <w:ind w:left="1264" w:leftChars="525" w:hanging="4" w:hangingChars="2"/>
        <w:jc w:val="both"/>
        <w:rPr>
          <w:rFonts w:ascii="宋体"/>
        </w:rPr>
      </w:pPr>
      <w:r>
        <w:rPr>
          <w:rFonts w:hint="eastAsia" w:ascii="宋体" w:hAnsi="宋体" w:cs="宋体"/>
        </w:rPr>
        <w:t>应当交纳投标保证金的投标人未提交投标保证金或金额不足的；</w:t>
      </w:r>
    </w:p>
    <w:p>
      <w:pPr>
        <w:numPr>
          <w:ilvl w:val="0"/>
          <w:numId w:val="14"/>
        </w:numPr>
        <w:spacing w:line="360" w:lineRule="auto"/>
        <w:ind w:left="1264" w:leftChars="525" w:hanging="4" w:hangingChars="2"/>
        <w:jc w:val="both"/>
        <w:rPr>
          <w:rFonts w:ascii="宋体"/>
        </w:rPr>
      </w:pPr>
      <w:r>
        <w:rPr>
          <w:rFonts w:hint="eastAsia" w:ascii="宋体" w:hAnsi="宋体" w:cs="宋体"/>
        </w:rPr>
        <w:t>本文件“投标文件的组成及相关要求”部分中，带</w:t>
      </w:r>
      <w:r>
        <w:rPr>
          <w:rFonts w:ascii="宋体" w:hAnsi="宋体" w:cs="宋体"/>
        </w:rPr>
        <w:t>*</w:t>
      </w:r>
      <w:r>
        <w:rPr>
          <w:rFonts w:hint="eastAsia" w:ascii="宋体" w:hAnsi="宋体" w:cs="宋体"/>
        </w:rPr>
        <w:t>部分的资格证明文件不全或无效的；</w:t>
      </w:r>
    </w:p>
    <w:p>
      <w:pPr>
        <w:numPr>
          <w:ilvl w:val="0"/>
          <w:numId w:val="14"/>
        </w:numPr>
        <w:spacing w:line="360" w:lineRule="auto"/>
        <w:ind w:left="1264" w:leftChars="525" w:hanging="4" w:hangingChars="2"/>
        <w:jc w:val="both"/>
        <w:rPr>
          <w:rFonts w:ascii="宋体"/>
        </w:rPr>
      </w:pPr>
      <w:r>
        <w:rPr>
          <w:rFonts w:hint="eastAsia" w:ascii="宋体" w:hAnsi="宋体" w:cs="宋体"/>
        </w:rPr>
        <w:t>投标文件未按招标文件的规定密封、签署、盖章的；</w:t>
      </w:r>
    </w:p>
    <w:p>
      <w:pPr>
        <w:numPr>
          <w:ilvl w:val="0"/>
          <w:numId w:val="14"/>
        </w:numPr>
        <w:spacing w:line="360" w:lineRule="auto"/>
        <w:ind w:left="1264" w:leftChars="525" w:hanging="4" w:hangingChars="2"/>
        <w:jc w:val="both"/>
        <w:rPr>
          <w:rFonts w:ascii="宋体"/>
        </w:rPr>
      </w:pPr>
      <w:r>
        <w:rPr>
          <w:rFonts w:hint="eastAsia" w:ascii="宋体" w:hAnsi="宋体" w:cs="宋体"/>
        </w:rPr>
        <w:t>投标有效期不足的；</w:t>
      </w:r>
    </w:p>
    <w:p>
      <w:pPr>
        <w:numPr>
          <w:ilvl w:val="0"/>
          <w:numId w:val="14"/>
        </w:numPr>
        <w:spacing w:line="360" w:lineRule="auto"/>
        <w:ind w:left="1264" w:leftChars="525" w:hanging="4" w:hangingChars="2"/>
        <w:jc w:val="both"/>
        <w:rPr>
          <w:rFonts w:ascii="宋体"/>
        </w:rPr>
      </w:pPr>
      <w:r>
        <w:rPr>
          <w:rFonts w:hint="eastAsia" w:ascii="宋体" w:hAnsi="宋体" w:cs="宋体"/>
        </w:rPr>
        <w:t>投标方案、完成时间、售后服务承诺等不满足招标文件中的相关要求和超出招标人可接受的偏差范围的；</w:t>
      </w:r>
    </w:p>
    <w:p>
      <w:pPr>
        <w:numPr>
          <w:ilvl w:val="0"/>
          <w:numId w:val="14"/>
        </w:numPr>
        <w:spacing w:line="360" w:lineRule="auto"/>
        <w:ind w:left="1264" w:leftChars="525" w:hanging="4" w:hangingChars="2"/>
        <w:jc w:val="both"/>
        <w:rPr>
          <w:rFonts w:ascii="宋体"/>
        </w:rPr>
      </w:pPr>
      <w:r>
        <w:rPr>
          <w:rFonts w:hint="eastAsia" w:ascii="宋体" w:hAnsi="宋体" w:cs="宋体"/>
        </w:rPr>
        <w:t>未按照招标文件规定报价的；</w:t>
      </w:r>
    </w:p>
    <w:p>
      <w:pPr>
        <w:numPr>
          <w:ilvl w:val="0"/>
          <w:numId w:val="14"/>
        </w:numPr>
        <w:spacing w:line="360" w:lineRule="auto"/>
        <w:ind w:left="1264" w:leftChars="525" w:hanging="4" w:hangingChars="2"/>
        <w:jc w:val="both"/>
        <w:rPr>
          <w:rFonts w:ascii="宋体"/>
        </w:rPr>
      </w:pPr>
      <w:r>
        <w:rPr>
          <w:rFonts w:hint="eastAsia" w:ascii="宋体" w:hAnsi="宋体" w:cs="宋体"/>
        </w:rPr>
        <w:t>不符合招标文件中有关分包、转包规定的；</w:t>
      </w:r>
    </w:p>
    <w:p>
      <w:pPr>
        <w:numPr>
          <w:ilvl w:val="0"/>
          <w:numId w:val="14"/>
        </w:numPr>
        <w:spacing w:line="360" w:lineRule="auto"/>
        <w:ind w:left="1264" w:leftChars="525" w:hanging="4" w:hangingChars="2"/>
        <w:jc w:val="both"/>
        <w:rPr>
          <w:rFonts w:ascii="宋体"/>
        </w:rPr>
      </w:pPr>
      <w:r>
        <w:rPr>
          <w:rFonts w:hint="eastAsia" w:ascii="宋体" w:hAnsi="宋体" w:cs="宋体"/>
        </w:rPr>
        <w:t>投标文件附有招标人不能接受的条件；</w:t>
      </w:r>
    </w:p>
    <w:p>
      <w:pPr>
        <w:numPr>
          <w:ilvl w:val="0"/>
          <w:numId w:val="14"/>
        </w:numPr>
        <w:spacing w:line="360" w:lineRule="auto"/>
        <w:ind w:left="1264" w:leftChars="525" w:hanging="4" w:hangingChars="2"/>
        <w:jc w:val="both"/>
        <w:rPr>
          <w:rFonts w:ascii="宋体"/>
        </w:rPr>
      </w:pPr>
      <w:r>
        <w:rPr>
          <w:rFonts w:hint="eastAsia" w:ascii="宋体" w:hAnsi="宋体" w:cs="宋体"/>
        </w:rPr>
        <w:t>不符合招标文件中规定的其他实质性要求。</w:t>
      </w:r>
    </w:p>
    <w:p>
      <w:pPr>
        <w:spacing w:line="360" w:lineRule="auto"/>
        <w:ind w:left="1260" w:leftChars="300" w:hanging="540" w:hangingChars="225"/>
        <w:jc w:val="both"/>
        <w:rPr>
          <w:rFonts w:ascii="宋体"/>
        </w:rPr>
      </w:pPr>
      <w:r>
        <w:rPr>
          <w:rFonts w:hint="eastAsia" w:ascii="宋体" w:hAnsi="宋体" w:cs="宋体"/>
        </w:rPr>
        <w:t>（</w:t>
      </w:r>
      <w:r>
        <w:rPr>
          <w:rFonts w:ascii="宋体" w:hAnsi="宋体" w:cs="宋体"/>
        </w:rPr>
        <w:t>3</w:t>
      </w:r>
      <w:r>
        <w:rPr>
          <w:rFonts w:hint="eastAsia" w:ascii="宋体" w:hAnsi="宋体" w:cs="宋体"/>
        </w:rPr>
        <w:t>）重大偏离不允许在开标后修正，但评标委员会将允许修正投标中不构成重大偏离的地方，这些修正不会对其他实质上响应招标文件要求的投标人的竞争地位产生不公正的影响。</w:t>
      </w:r>
    </w:p>
    <w:p>
      <w:pPr>
        <w:spacing w:line="360" w:lineRule="auto"/>
        <w:ind w:left="1260" w:leftChars="300" w:hanging="540" w:hangingChars="225"/>
        <w:jc w:val="both"/>
        <w:rPr>
          <w:rFonts w:ascii="宋体"/>
        </w:rPr>
      </w:pPr>
      <w:r>
        <w:rPr>
          <w:rFonts w:hint="eastAsia" w:ascii="宋体" w:hAnsi="宋体" w:cs="宋体"/>
        </w:rPr>
        <w:t>（</w:t>
      </w:r>
      <w:r>
        <w:rPr>
          <w:rFonts w:ascii="宋体" w:hAnsi="宋体" w:cs="宋体"/>
        </w:rPr>
        <w:t>4</w:t>
      </w:r>
      <w:r>
        <w:rPr>
          <w:rFonts w:hint="eastAsia" w:ascii="宋体" w:hAnsi="宋体" w:cs="宋体"/>
        </w:rPr>
        <w:t>）如果投标文件实质上没有响应招标文件的要求，评标委员会将予以拒绝，投标人不得再对投标文件进行任何修正从而使其投标成为实质上响应的投标。</w:t>
      </w:r>
    </w:p>
    <w:p>
      <w:pPr>
        <w:pStyle w:val="66"/>
        <w:numPr>
          <w:ilvl w:val="0"/>
          <w:numId w:val="0"/>
        </w:numPr>
        <w:spacing w:line="360" w:lineRule="auto"/>
        <w:rPr>
          <w:sz w:val="24"/>
          <w:szCs w:val="24"/>
        </w:rPr>
      </w:pPr>
      <w:r>
        <w:rPr>
          <w:sz w:val="24"/>
          <w:szCs w:val="24"/>
        </w:rPr>
        <w:t xml:space="preserve">18.3  </w:t>
      </w:r>
      <w:r>
        <w:rPr>
          <w:rFonts w:hint="eastAsia"/>
          <w:sz w:val="24"/>
          <w:szCs w:val="24"/>
        </w:rPr>
        <w:t>初审中，对明显的文字和计算错误按下述原则处理：</w:t>
      </w:r>
      <w:r>
        <w:rPr>
          <w:sz w:val="24"/>
          <w:szCs w:val="24"/>
        </w:rPr>
        <w:t xml:space="preserve"> </w:t>
      </w:r>
    </w:p>
    <w:p>
      <w:pPr>
        <w:pStyle w:val="66"/>
        <w:numPr>
          <w:ilvl w:val="0"/>
          <w:numId w:val="0"/>
        </w:numPr>
        <w:spacing w:line="360" w:lineRule="auto"/>
        <w:ind w:left="1048" w:leftChars="286" w:hanging="362" w:hangingChars="151"/>
        <w:rPr>
          <w:sz w:val="24"/>
          <w:szCs w:val="24"/>
        </w:rPr>
      </w:pPr>
      <w:r>
        <w:rPr>
          <w:sz w:val="24"/>
          <w:szCs w:val="24"/>
        </w:rPr>
        <w:t>(1)</w:t>
      </w:r>
      <w:r>
        <w:rPr>
          <w:rFonts w:hint="eastAsia"/>
          <w:sz w:val="24"/>
          <w:szCs w:val="24"/>
        </w:rPr>
        <w:t>如果正本与副本或电子文档不一致，以正本为准；开标一览表的正本之间如有差异，按投标无效处理；开标一览表内容与投标文件中明细表内容不一致的</w:t>
      </w:r>
      <w:r>
        <w:rPr>
          <w:sz w:val="24"/>
          <w:szCs w:val="24"/>
        </w:rPr>
        <w:t>,</w:t>
      </w:r>
      <w:r>
        <w:rPr>
          <w:rFonts w:hint="eastAsia"/>
          <w:sz w:val="24"/>
          <w:szCs w:val="24"/>
        </w:rPr>
        <w:t>以开标一览表为准。</w:t>
      </w:r>
    </w:p>
    <w:p>
      <w:pPr>
        <w:spacing w:line="360" w:lineRule="auto"/>
        <w:ind w:left="1048" w:leftChars="286" w:hanging="362" w:hangingChars="151"/>
        <w:rPr>
          <w:rFonts w:ascii="宋体"/>
        </w:rPr>
      </w:pPr>
      <w:r>
        <w:rPr>
          <w:rFonts w:ascii="宋体" w:hAnsi="宋体" w:cs="宋体"/>
        </w:rPr>
        <w:t>(2)</w:t>
      </w:r>
      <w:r>
        <w:rPr>
          <w:rFonts w:hint="eastAsia" w:ascii="宋体" w:hAnsi="宋体" w:cs="宋体"/>
        </w:rPr>
        <w:t>如果以文字表示的数据与数字表示的有差别，以文字为准修正数字。如果大小写金额不一致的，以大写金额为准。</w:t>
      </w:r>
    </w:p>
    <w:p>
      <w:pPr>
        <w:spacing w:line="360" w:lineRule="auto"/>
        <w:ind w:left="1048" w:leftChars="286" w:hanging="362" w:hangingChars="151"/>
        <w:rPr>
          <w:rFonts w:ascii="宋体"/>
        </w:rPr>
      </w:pPr>
      <w:r>
        <w:rPr>
          <w:rFonts w:ascii="宋体" w:hAnsi="宋体" w:cs="宋体"/>
        </w:rPr>
        <w:t>(3)</w:t>
      </w:r>
      <w:r>
        <w:rPr>
          <w:rFonts w:hint="eastAsia" w:ascii="宋体" w:hAnsi="宋体" w:cs="宋体"/>
        </w:rPr>
        <w:t>如果单价乘以数量不等于总价，以单价为准修正总价，但单价金额小数点有明显错误的</w:t>
      </w:r>
      <w:r>
        <w:rPr>
          <w:rFonts w:ascii="宋体" w:cs="宋体"/>
        </w:rPr>
        <w:t>,</w:t>
      </w:r>
      <w:r>
        <w:rPr>
          <w:rFonts w:hint="eastAsia" w:ascii="宋体" w:hAnsi="宋体" w:cs="宋体"/>
        </w:rPr>
        <w:t>应以总价为准，并修改单价。如果明细价格相加不等于汇总价格，以明细价格为准。</w:t>
      </w:r>
    </w:p>
    <w:p>
      <w:pPr>
        <w:spacing w:line="360" w:lineRule="auto"/>
        <w:ind w:left="1048" w:leftChars="286" w:hanging="362" w:hangingChars="151"/>
        <w:rPr>
          <w:rFonts w:ascii="宋体"/>
        </w:rPr>
      </w:pPr>
      <w:r>
        <w:rPr>
          <w:rFonts w:ascii="宋体" w:hAnsi="宋体" w:cs="宋体"/>
        </w:rPr>
        <w:t>(4)</w:t>
      </w:r>
      <w:r>
        <w:rPr>
          <w:rFonts w:hint="eastAsia" w:ascii="宋体" w:hAnsi="宋体" w:cs="宋体"/>
        </w:rPr>
        <w:t>调整后的数据应对投标人具有约束力，投标人不同意以上修正，其投标将被拒绝。</w:t>
      </w:r>
    </w:p>
    <w:p>
      <w:pPr>
        <w:spacing w:line="360" w:lineRule="auto"/>
        <w:ind w:left="720" w:hanging="720" w:hangingChars="300"/>
        <w:rPr>
          <w:rFonts w:ascii="宋体"/>
        </w:rPr>
      </w:pPr>
      <w:r>
        <w:rPr>
          <w:rFonts w:ascii="宋体" w:hAnsi="宋体" w:cs="宋体"/>
        </w:rPr>
        <w:t xml:space="preserve">18.4  </w:t>
      </w:r>
      <w:r>
        <w:rPr>
          <w:rFonts w:hint="eastAsia" w:ascii="宋体" w:hAnsi="宋体" w:cs="宋体"/>
        </w:rPr>
        <w:t>评标委员会对投标文件的判定，只依据投标文件内容本身，不依据任何外来证明。</w:t>
      </w:r>
    </w:p>
    <w:p>
      <w:pPr>
        <w:numPr>
          <w:ilvl w:val="0"/>
          <w:numId w:val="13"/>
        </w:numPr>
        <w:spacing w:line="360" w:lineRule="auto"/>
        <w:rPr>
          <w:rFonts w:ascii="宋体"/>
        </w:rPr>
      </w:pPr>
      <w:r>
        <w:rPr>
          <w:rFonts w:ascii="宋体" w:hAnsi="宋体" w:cs="宋体"/>
        </w:rPr>
        <w:t xml:space="preserve">   </w:t>
      </w:r>
      <w:r>
        <w:rPr>
          <w:rFonts w:hint="eastAsia" w:ascii="宋体" w:hAnsi="宋体" w:cs="宋体"/>
        </w:rPr>
        <w:t>投标的澄清</w:t>
      </w:r>
    </w:p>
    <w:p>
      <w:pPr>
        <w:pStyle w:val="66"/>
        <w:numPr>
          <w:ilvl w:val="0"/>
          <w:numId w:val="0"/>
        </w:numPr>
        <w:spacing w:line="360" w:lineRule="auto"/>
        <w:ind w:left="840" w:hanging="840" w:hangingChars="350"/>
        <w:rPr>
          <w:sz w:val="24"/>
          <w:szCs w:val="24"/>
        </w:rPr>
      </w:pPr>
      <w:r>
        <w:rPr>
          <w:sz w:val="24"/>
          <w:szCs w:val="24"/>
        </w:rPr>
        <w:t xml:space="preserve">19.1   </w:t>
      </w:r>
      <w:r>
        <w:rPr>
          <w:rFonts w:hint="eastAsia"/>
          <w:sz w:val="24"/>
          <w:szCs w:val="24"/>
        </w:rPr>
        <w:t>评标委员会有权要求投标人对投标文件中含义不明确、对同类问题表述不一致或者有明显文字和计算错误等内容作必要的澄清、说明或者补正。该要求应当采用书面形式</w:t>
      </w:r>
      <w:r>
        <w:rPr>
          <w:sz w:val="24"/>
          <w:szCs w:val="24"/>
        </w:rPr>
        <w:t>,</w:t>
      </w:r>
      <w:r>
        <w:rPr>
          <w:rFonts w:hint="eastAsia"/>
          <w:sz w:val="24"/>
          <w:szCs w:val="24"/>
        </w:rPr>
        <w:t>并由评标委员会专家签字。</w:t>
      </w:r>
    </w:p>
    <w:p>
      <w:pPr>
        <w:pStyle w:val="66"/>
        <w:numPr>
          <w:ilvl w:val="0"/>
          <w:numId w:val="0"/>
        </w:numPr>
        <w:spacing w:line="360" w:lineRule="auto"/>
        <w:ind w:left="840" w:hanging="840" w:hangingChars="350"/>
        <w:rPr>
          <w:sz w:val="24"/>
          <w:szCs w:val="24"/>
        </w:rPr>
      </w:pPr>
      <w:r>
        <w:rPr>
          <w:sz w:val="24"/>
          <w:szCs w:val="24"/>
        </w:rPr>
        <w:t xml:space="preserve">19.2   </w:t>
      </w:r>
      <w:r>
        <w:rPr>
          <w:rFonts w:hint="eastAsia"/>
          <w:sz w:val="24"/>
          <w:szCs w:val="24"/>
        </w:rPr>
        <w:t>投标人必须按照评标委员会通知的内容和时间做出书面答复，该答复经法定代表人或投标人代表的签字认可，将作为投标文件内容的一部分。澄清、说明或者补正不得超出投标文件的范围或者改变投标文件的实质性内容。投标人拒不按照要求对投标文件进行澄清、说明或者补正的，评标委员会可拒绝该投标。</w:t>
      </w:r>
    </w:p>
    <w:p>
      <w:pPr>
        <w:pStyle w:val="66"/>
        <w:numPr>
          <w:ilvl w:val="0"/>
          <w:numId w:val="0"/>
        </w:numPr>
        <w:spacing w:line="360" w:lineRule="auto"/>
        <w:ind w:left="840" w:hanging="840" w:hangingChars="350"/>
        <w:rPr>
          <w:sz w:val="24"/>
          <w:szCs w:val="24"/>
        </w:rPr>
      </w:pPr>
      <w:r>
        <w:rPr>
          <w:sz w:val="24"/>
          <w:szCs w:val="24"/>
        </w:rPr>
        <w:t xml:space="preserve">19.3   </w:t>
      </w:r>
      <w:r>
        <w:rPr>
          <w:rFonts w:hint="eastAsia"/>
          <w:sz w:val="24"/>
          <w:szCs w:val="24"/>
        </w:rPr>
        <w:t>如评标委员会一致认为某个投标人的报价明显不合理，有降低质量、不能诚信履行的可能时，评标委员会有权通知投标人限期进行书面解释或提供相关证明材料。若该投标人在规定期限内未做出解释、作出的解释不合理或不能提供证明材料的，经评标委员会取得一致意见后，可拒绝该投标。</w:t>
      </w:r>
    </w:p>
    <w:p>
      <w:pPr>
        <w:pStyle w:val="66"/>
        <w:numPr>
          <w:ilvl w:val="0"/>
          <w:numId w:val="0"/>
        </w:numPr>
        <w:spacing w:line="360" w:lineRule="auto"/>
        <w:ind w:left="709" w:hanging="709"/>
        <w:rPr>
          <w:sz w:val="24"/>
          <w:szCs w:val="24"/>
        </w:rPr>
      </w:pPr>
    </w:p>
    <w:p>
      <w:pPr>
        <w:pStyle w:val="66"/>
        <w:numPr>
          <w:ilvl w:val="0"/>
          <w:numId w:val="0"/>
        </w:numPr>
        <w:spacing w:line="360" w:lineRule="auto"/>
        <w:rPr>
          <w:sz w:val="24"/>
          <w:szCs w:val="24"/>
        </w:rPr>
      </w:pPr>
      <w:r>
        <w:rPr>
          <w:sz w:val="24"/>
          <w:szCs w:val="24"/>
        </w:rPr>
        <w:t xml:space="preserve">20.    </w:t>
      </w:r>
      <w:r>
        <w:rPr>
          <w:rFonts w:hint="eastAsia"/>
          <w:sz w:val="24"/>
          <w:szCs w:val="24"/>
        </w:rPr>
        <w:t>对投标文件的详细评审</w:t>
      </w:r>
    </w:p>
    <w:p>
      <w:pPr>
        <w:pStyle w:val="66"/>
        <w:numPr>
          <w:ilvl w:val="0"/>
          <w:numId w:val="0"/>
        </w:numPr>
        <w:spacing w:line="360" w:lineRule="auto"/>
        <w:ind w:left="840" w:hanging="840" w:hangingChars="350"/>
        <w:rPr>
          <w:sz w:val="24"/>
          <w:szCs w:val="24"/>
        </w:rPr>
      </w:pPr>
      <w:r>
        <w:rPr>
          <w:sz w:val="24"/>
          <w:szCs w:val="24"/>
        </w:rPr>
        <w:t xml:space="preserve">20.1   </w:t>
      </w:r>
      <w:r>
        <w:rPr>
          <w:rFonts w:hint="eastAsia"/>
          <w:sz w:val="24"/>
          <w:szCs w:val="24"/>
        </w:rPr>
        <w:t>评标委员会只对实质上响应招标文件的投标进行评价和比较；评审应严格按照招标文件的要求和条件进行；具体评审原则、方法和中标条件详见招标文件第四部分“评标细则和评分办法”。</w:t>
      </w:r>
    </w:p>
    <w:p>
      <w:pPr>
        <w:spacing w:line="360" w:lineRule="auto"/>
        <w:ind w:left="821" w:hanging="820" w:hangingChars="342"/>
        <w:rPr>
          <w:rFonts w:ascii="宋体"/>
        </w:rPr>
      </w:pPr>
      <w:r>
        <w:rPr>
          <w:rFonts w:ascii="宋体" w:hAnsi="宋体" w:cs="宋体"/>
        </w:rPr>
        <w:t xml:space="preserve">20.2   </w:t>
      </w:r>
      <w:r>
        <w:rPr>
          <w:rFonts w:hint="eastAsia" w:ascii="宋体" w:hAnsi="宋体" w:cs="宋体"/>
        </w:rPr>
        <w:t>评标应严格按照招标文件规定和评标细则、方法和中标条件进行，投标人可对任何擅自改变评标标准、方法和中标条件的行为进行质疑或投诉。</w:t>
      </w:r>
    </w:p>
    <w:p>
      <w:pPr>
        <w:pStyle w:val="66"/>
        <w:numPr>
          <w:ilvl w:val="0"/>
          <w:numId w:val="0"/>
        </w:numPr>
        <w:spacing w:line="360" w:lineRule="auto"/>
        <w:rPr>
          <w:sz w:val="24"/>
          <w:szCs w:val="24"/>
        </w:rPr>
      </w:pPr>
      <w:r>
        <w:rPr>
          <w:sz w:val="24"/>
          <w:szCs w:val="24"/>
        </w:rPr>
        <w:t xml:space="preserve">21.    </w:t>
      </w:r>
      <w:r>
        <w:rPr>
          <w:rFonts w:hint="eastAsia"/>
          <w:sz w:val="24"/>
          <w:szCs w:val="24"/>
        </w:rPr>
        <w:t>确定中标人</w:t>
      </w:r>
    </w:p>
    <w:p>
      <w:pPr>
        <w:pStyle w:val="66"/>
        <w:numPr>
          <w:ilvl w:val="0"/>
          <w:numId w:val="0"/>
        </w:numPr>
        <w:spacing w:line="360" w:lineRule="auto"/>
        <w:ind w:left="840" w:hanging="840" w:hangingChars="350"/>
        <w:rPr>
          <w:sz w:val="24"/>
          <w:szCs w:val="24"/>
        </w:rPr>
      </w:pPr>
      <w:r>
        <w:rPr>
          <w:sz w:val="24"/>
          <w:szCs w:val="24"/>
        </w:rPr>
        <w:t xml:space="preserve">21.1   </w:t>
      </w:r>
      <w:r>
        <w:rPr>
          <w:rFonts w:hint="eastAsia"/>
          <w:sz w:val="24"/>
          <w:szCs w:val="24"/>
        </w:rPr>
        <w:t>按照投标人商务、技术、价格得分相加得出总得分，总得分算术平均后的得分按由高到低顺序排序；得分相同的，按技术实力得分优劣顺序排序；得分和技术实力得分均相同的，按商务实力得分优劣顺序排序。评标委员会根据详细评审的结果确定一至三人为中标候选人，并标明排列顺序。</w:t>
      </w:r>
    </w:p>
    <w:p>
      <w:pPr>
        <w:pStyle w:val="66"/>
        <w:numPr>
          <w:ilvl w:val="0"/>
          <w:numId w:val="0"/>
        </w:numPr>
        <w:spacing w:line="360" w:lineRule="auto"/>
        <w:ind w:left="840" w:hanging="840" w:hangingChars="350"/>
        <w:rPr>
          <w:sz w:val="24"/>
          <w:szCs w:val="24"/>
        </w:rPr>
      </w:pPr>
      <w:r>
        <w:rPr>
          <w:sz w:val="24"/>
          <w:szCs w:val="24"/>
        </w:rPr>
        <w:t xml:space="preserve">21.2   </w:t>
      </w:r>
      <w:r>
        <w:rPr>
          <w:rFonts w:hint="eastAsia"/>
          <w:sz w:val="24"/>
          <w:szCs w:val="24"/>
        </w:rPr>
        <w:t>招标人将确定排名第一的中标候选人为中标人并向其授予合同。排名第一的中标候选人因不可抗力或者自身原因不能履行合同，招标人将把合同授予排名第二的中标候选人并依次类推。</w:t>
      </w:r>
    </w:p>
    <w:p>
      <w:pPr>
        <w:pStyle w:val="66"/>
        <w:numPr>
          <w:ilvl w:val="0"/>
          <w:numId w:val="0"/>
        </w:numPr>
        <w:spacing w:line="360" w:lineRule="auto"/>
        <w:ind w:left="840" w:hanging="840" w:hangingChars="350"/>
        <w:rPr>
          <w:sz w:val="24"/>
          <w:szCs w:val="24"/>
        </w:rPr>
      </w:pPr>
      <w:r>
        <w:rPr>
          <w:sz w:val="24"/>
          <w:szCs w:val="24"/>
        </w:rPr>
        <w:t xml:space="preserve">       </w:t>
      </w:r>
      <w:r>
        <w:rPr>
          <w:rFonts w:hint="eastAsia"/>
          <w:sz w:val="24"/>
          <w:szCs w:val="24"/>
        </w:rPr>
        <w:t>招标人也可授权评标委员会按本款规定直接确定中标人。</w:t>
      </w:r>
    </w:p>
    <w:p>
      <w:pPr>
        <w:pStyle w:val="66"/>
        <w:numPr>
          <w:ilvl w:val="0"/>
          <w:numId w:val="0"/>
        </w:numPr>
        <w:spacing w:line="360" w:lineRule="auto"/>
        <w:ind w:left="798" w:hanging="798"/>
        <w:rPr>
          <w:sz w:val="24"/>
          <w:szCs w:val="24"/>
        </w:rPr>
      </w:pPr>
      <w:r>
        <w:rPr>
          <w:sz w:val="24"/>
          <w:szCs w:val="24"/>
        </w:rPr>
        <w:t xml:space="preserve">21.3   </w:t>
      </w:r>
      <w:r>
        <w:rPr>
          <w:rFonts w:hint="eastAsia"/>
          <w:sz w:val="24"/>
          <w:szCs w:val="24"/>
        </w:rPr>
        <w:t>招标人将在评标结束后两个工作日内将评标报告送招标人。招标人将在收到评标报告后五个工作日内按前款规定确定中标人。</w:t>
      </w:r>
    </w:p>
    <w:p>
      <w:pPr>
        <w:pStyle w:val="66"/>
        <w:numPr>
          <w:ilvl w:val="0"/>
          <w:numId w:val="0"/>
        </w:numPr>
        <w:spacing w:line="360" w:lineRule="auto"/>
        <w:rPr>
          <w:sz w:val="24"/>
          <w:szCs w:val="24"/>
        </w:rPr>
      </w:pPr>
      <w:r>
        <w:rPr>
          <w:sz w:val="24"/>
          <w:szCs w:val="24"/>
        </w:rPr>
        <w:t xml:space="preserve">22.    </w:t>
      </w:r>
      <w:r>
        <w:rPr>
          <w:rFonts w:hint="eastAsia"/>
          <w:sz w:val="24"/>
          <w:szCs w:val="24"/>
        </w:rPr>
        <w:t>评标过程保密</w:t>
      </w:r>
    </w:p>
    <w:p>
      <w:pPr>
        <w:pStyle w:val="66"/>
        <w:numPr>
          <w:ilvl w:val="0"/>
          <w:numId w:val="0"/>
        </w:numPr>
        <w:spacing w:line="360" w:lineRule="auto"/>
        <w:ind w:left="840" w:hanging="840" w:hangingChars="350"/>
        <w:rPr>
          <w:sz w:val="24"/>
          <w:szCs w:val="24"/>
        </w:rPr>
      </w:pPr>
      <w:r>
        <w:rPr>
          <w:sz w:val="24"/>
          <w:szCs w:val="24"/>
        </w:rPr>
        <w:t xml:space="preserve">22.1   </w:t>
      </w:r>
      <w:r>
        <w:rPr>
          <w:rFonts w:hint="eastAsia"/>
          <w:sz w:val="24"/>
          <w:szCs w:val="24"/>
        </w:rPr>
        <w:t>开标之后，直到授予投标人合同止，凡是属于审查、澄清、评价和比较投标的有关资料以及授标意向等，均不向投标人或其他与评标无关的人员透露。</w:t>
      </w:r>
    </w:p>
    <w:p>
      <w:pPr>
        <w:pStyle w:val="66"/>
        <w:numPr>
          <w:ilvl w:val="0"/>
          <w:numId w:val="0"/>
        </w:numPr>
        <w:spacing w:line="360" w:lineRule="auto"/>
        <w:ind w:left="812" w:hanging="812"/>
        <w:rPr>
          <w:sz w:val="24"/>
          <w:szCs w:val="24"/>
        </w:rPr>
      </w:pPr>
      <w:r>
        <w:rPr>
          <w:sz w:val="24"/>
          <w:szCs w:val="24"/>
        </w:rPr>
        <w:t xml:space="preserve">22.2   </w:t>
      </w:r>
      <w:r>
        <w:rPr>
          <w:rFonts w:hint="eastAsia"/>
          <w:sz w:val="24"/>
          <w:szCs w:val="24"/>
        </w:rPr>
        <w:t>在评标期间，投标人企图影响招标人或评标委员会的任何活动，将导致投标被拒绝，并由其承担相应的法律责任。</w:t>
      </w:r>
    </w:p>
    <w:p>
      <w:pPr>
        <w:pStyle w:val="66"/>
        <w:numPr>
          <w:ilvl w:val="0"/>
          <w:numId w:val="0"/>
        </w:numPr>
        <w:spacing w:line="360" w:lineRule="auto"/>
        <w:rPr>
          <w:sz w:val="24"/>
          <w:szCs w:val="24"/>
        </w:rPr>
      </w:pPr>
      <w:r>
        <w:rPr>
          <w:sz w:val="24"/>
          <w:szCs w:val="24"/>
        </w:rPr>
        <w:t xml:space="preserve">23.    </w:t>
      </w:r>
      <w:r>
        <w:rPr>
          <w:rFonts w:hint="eastAsia"/>
          <w:sz w:val="24"/>
          <w:szCs w:val="24"/>
        </w:rPr>
        <w:t>招标人宣布废标的权利</w:t>
      </w:r>
    </w:p>
    <w:p>
      <w:pPr>
        <w:pStyle w:val="66"/>
        <w:numPr>
          <w:ilvl w:val="0"/>
          <w:numId w:val="0"/>
        </w:numPr>
        <w:spacing w:line="360" w:lineRule="auto"/>
        <w:ind w:firstLine="840" w:firstLineChars="350"/>
        <w:rPr>
          <w:sz w:val="24"/>
          <w:szCs w:val="24"/>
        </w:rPr>
      </w:pPr>
      <w:r>
        <w:rPr>
          <w:rFonts w:hint="eastAsia"/>
          <w:sz w:val="24"/>
          <w:szCs w:val="24"/>
        </w:rPr>
        <w:t>出现下列情况之一时，招标人有权宣布废标，并将理由通知所有投标人：</w:t>
      </w:r>
    </w:p>
    <w:p>
      <w:pPr>
        <w:pStyle w:val="66"/>
        <w:numPr>
          <w:ilvl w:val="0"/>
          <w:numId w:val="15"/>
        </w:numPr>
        <w:spacing w:line="360" w:lineRule="auto"/>
        <w:rPr>
          <w:rFonts w:ascii="Times New Roman"/>
          <w:sz w:val="24"/>
          <w:szCs w:val="24"/>
        </w:rPr>
      </w:pPr>
      <w:r>
        <w:rPr>
          <w:rFonts w:hint="eastAsia" w:ascii="Times New Roman"/>
          <w:sz w:val="24"/>
          <w:szCs w:val="24"/>
        </w:rPr>
        <w:t>符合专业条件的投标人或者对招标文件作实质性响应的投标人不足三家的；</w:t>
      </w:r>
    </w:p>
    <w:p>
      <w:pPr>
        <w:pStyle w:val="66"/>
        <w:numPr>
          <w:ilvl w:val="0"/>
          <w:numId w:val="15"/>
        </w:numPr>
        <w:spacing w:line="360" w:lineRule="auto"/>
        <w:rPr>
          <w:rFonts w:ascii="Times New Roman"/>
          <w:sz w:val="24"/>
          <w:szCs w:val="24"/>
        </w:rPr>
      </w:pPr>
      <w:r>
        <w:rPr>
          <w:rFonts w:hint="eastAsia" w:ascii="Times New Roman"/>
          <w:sz w:val="24"/>
          <w:szCs w:val="24"/>
        </w:rPr>
        <w:t>出现影响采购公正的违法、违规行为的；</w:t>
      </w:r>
    </w:p>
    <w:p>
      <w:pPr>
        <w:pStyle w:val="66"/>
        <w:numPr>
          <w:ilvl w:val="0"/>
          <w:numId w:val="15"/>
        </w:numPr>
        <w:spacing w:line="360" w:lineRule="auto"/>
        <w:rPr>
          <w:rFonts w:ascii="Times New Roman"/>
          <w:sz w:val="24"/>
          <w:szCs w:val="24"/>
        </w:rPr>
      </w:pPr>
      <w:r>
        <w:rPr>
          <w:rFonts w:hint="eastAsia" w:ascii="Times New Roman"/>
          <w:sz w:val="24"/>
          <w:szCs w:val="24"/>
        </w:rPr>
        <w:t>投标人的报价均超过了采购预算，招标人不能支付的；</w:t>
      </w:r>
    </w:p>
    <w:p>
      <w:pPr>
        <w:pStyle w:val="66"/>
        <w:numPr>
          <w:ilvl w:val="0"/>
          <w:numId w:val="15"/>
        </w:numPr>
        <w:spacing w:line="360" w:lineRule="auto"/>
        <w:rPr>
          <w:rFonts w:ascii="Times New Roman"/>
          <w:sz w:val="24"/>
          <w:szCs w:val="24"/>
        </w:rPr>
      </w:pPr>
      <w:r>
        <w:rPr>
          <w:rFonts w:hint="eastAsia" w:ascii="Times New Roman"/>
          <w:sz w:val="24"/>
          <w:szCs w:val="24"/>
        </w:rPr>
        <w:t>因重大变故，采购任务取消的。</w:t>
      </w:r>
    </w:p>
    <w:p>
      <w:pPr>
        <w:pStyle w:val="66"/>
        <w:numPr>
          <w:ilvl w:val="0"/>
          <w:numId w:val="0"/>
        </w:numPr>
        <w:spacing w:line="360" w:lineRule="auto"/>
        <w:ind w:left="420"/>
        <w:rPr>
          <w:sz w:val="24"/>
          <w:szCs w:val="24"/>
        </w:rPr>
      </w:pPr>
    </w:p>
    <w:p>
      <w:pPr>
        <w:pStyle w:val="3"/>
        <w:numPr>
          <w:ilvl w:val="1"/>
          <w:numId w:val="0"/>
        </w:numPr>
        <w:spacing w:before="0" w:after="0" w:line="360" w:lineRule="auto"/>
        <w:rPr>
          <w:rFonts w:ascii="宋体" w:hAnsi="宋体" w:eastAsia="宋体" w:cs="Times New Roman"/>
          <w:sz w:val="24"/>
          <w:szCs w:val="24"/>
        </w:rPr>
      </w:pPr>
      <w:bookmarkStart w:id="42" w:name="_Toc415831324"/>
      <w:bookmarkStart w:id="43" w:name="_Toc25366"/>
      <w:bookmarkStart w:id="44" w:name="_Toc1429142"/>
      <w:bookmarkStart w:id="45" w:name="_Toc86202587"/>
      <w:bookmarkStart w:id="46" w:name="_Toc146597852"/>
      <w:r>
        <w:rPr>
          <w:rFonts w:hint="eastAsia" w:ascii="宋体" w:hAnsi="宋体" w:eastAsia="宋体" w:cs="宋体"/>
          <w:sz w:val="24"/>
          <w:szCs w:val="24"/>
        </w:rPr>
        <w:t>七、签订合同</w:t>
      </w:r>
      <w:bookmarkEnd w:id="42"/>
      <w:bookmarkEnd w:id="43"/>
      <w:bookmarkEnd w:id="44"/>
      <w:bookmarkEnd w:id="45"/>
      <w:bookmarkEnd w:id="46"/>
    </w:p>
    <w:p>
      <w:pPr>
        <w:pStyle w:val="66"/>
        <w:numPr>
          <w:ilvl w:val="0"/>
          <w:numId w:val="0"/>
        </w:numPr>
        <w:spacing w:line="360" w:lineRule="auto"/>
        <w:rPr>
          <w:sz w:val="24"/>
          <w:szCs w:val="24"/>
        </w:rPr>
      </w:pPr>
      <w:r>
        <w:rPr>
          <w:sz w:val="24"/>
          <w:szCs w:val="24"/>
        </w:rPr>
        <w:t xml:space="preserve">24.   </w:t>
      </w:r>
      <w:r>
        <w:rPr>
          <w:rFonts w:hint="eastAsia"/>
          <w:sz w:val="24"/>
          <w:szCs w:val="24"/>
        </w:rPr>
        <w:t>中标通知</w:t>
      </w:r>
    </w:p>
    <w:p>
      <w:pPr>
        <w:pStyle w:val="66"/>
        <w:numPr>
          <w:ilvl w:val="0"/>
          <w:numId w:val="0"/>
        </w:numPr>
        <w:spacing w:line="360" w:lineRule="auto"/>
        <w:ind w:left="720" w:hanging="720" w:hangingChars="300"/>
        <w:rPr>
          <w:sz w:val="24"/>
          <w:szCs w:val="24"/>
        </w:rPr>
      </w:pPr>
      <w:r>
        <w:rPr>
          <w:sz w:val="24"/>
          <w:szCs w:val="24"/>
        </w:rPr>
        <w:t xml:space="preserve">24.1  </w:t>
      </w:r>
      <w:r>
        <w:rPr>
          <w:rFonts w:hint="eastAsia"/>
          <w:sz w:val="24"/>
          <w:szCs w:val="24"/>
        </w:rPr>
        <w:t>中标人确定后</w:t>
      </w:r>
      <w:r>
        <w:rPr>
          <w:sz w:val="24"/>
          <w:szCs w:val="24"/>
        </w:rPr>
        <w:t>,</w:t>
      </w:r>
      <w:r>
        <w:rPr>
          <w:rFonts w:hint="eastAsia"/>
          <w:sz w:val="24"/>
          <w:szCs w:val="24"/>
        </w:rPr>
        <w:t>招标人将在刊登本次招标公告的媒体上发布中标公告，同时向中标人发出中标通知书。中标通知书对招标人和中标人具有同等法律效力。中标通知书发出后，招标人改变中标结果或者中标服务商放弃中标，应当承担相应的法律责任。</w:t>
      </w:r>
    </w:p>
    <w:p>
      <w:pPr>
        <w:pStyle w:val="66"/>
        <w:numPr>
          <w:ilvl w:val="0"/>
          <w:numId w:val="0"/>
        </w:numPr>
        <w:spacing w:line="360" w:lineRule="auto"/>
        <w:ind w:left="725" w:leftChars="2" w:hanging="720" w:hangingChars="300"/>
        <w:rPr>
          <w:sz w:val="24"/>
          <w:szCs w:val="24"/>
        </w:rPr>
      </w:pPr>
      <w:r>
        <w:rPr>
          <w:sz w:val="24"/>
          <w:szCs w:val="24"/>
        </w:rPr>
        <w:t xml:space="preserve">24.2  </w:t>
      </w:r>
      <w:r>
        <w:rPr>
          <w:rFonts w:hint="eastAsia"/>
          <w:sz w:val="24"/>
          <w:szCs w:val="24"/>
        </w:rPr>
        <w:t>招标人同时向其他投标人发出未中标通知。招标人对未中标的投标人不作未中标原因的解释。</w:t>
      </w:r>
    </w:p>
    <w:p>
      <w:pPr>
        <w:pStyle w:val="66"/>
        <w:numPr>
          <w:ilvl w:val="0"/>
          <w:numId w:val="0"/>
        </w:numPr>
        <w:spacing w:line="360" w:lineRule="auto"/>
        <w:ind w:left="809" w:hanging="808" w:hangingChars="337"/>
      </w:pPr>
      <w:r>
        <w:rPr>
          <w:sz w:val="24"/>
          <w:szCs w:val="24"/>
        </w:rPr>
        <w:t xml:space="preserve">24.3  </w:t>
      </w:r>
      <w:r>
        <w:rPr>
          <w:rFonts w:hint="eastAsia"/>
          <w:sz w:val="24"/>
          <w:szCs w:val="24"/>
        </w:rPr>
        <w:t>中标通知书是合同的组成部分。</w:t>
      </w:r>
    </w:p>
    <w:p>
      <w:pPr>
        <w:pStyle w:val="66"/>
        <w:numPr>
          <w:ilvl w:val="0"/>
          <w:numId w:val="0"/>
        </w:numPr>
        <w:spacing w:line="360" w:lineRule="auto"/>
        <w:rPr>
          <w:sz w:val="24"/>
          <w:szCs w:val="24"/>
        </w:rPr>
      </w:pPr>
      <w:r>
        <w:rPr>
          <w:sz w:val="24"/>
          <w:szCs w:val="24"/>
        </w:rPr>
        <w:t xml:space="preserve">25.   </w:t>
      </w:r>
      <w:r>
        <w:rPr>
          <w:rFonts w:hint="eastAsia"/>
          <w:sz w:val="24"/>
          <w:szCs w:val="24"/>
        </w:rPr>
        <w:t>签订合同</w:t>
      </w:r>
    </w:p>
    <w:p>
      <w:pPr>
        <w:pStyle w:val="66"/>
        <w:numPr>
          <w:ilvl w:val="0"/>
          <w:numId w:val="0"/>
        </w:numPr>
        <w:spacing w:line="360" w:lineRule="auto"/>
        <w:ind w:left="720" w:hanging="720" w:hangingChars="300"/>
        <w:rPr>
          <w:sz w:val="24"/>
          <w:szCs w:val="24"/>
        </w:rPr>
      </w:pPr>
      <w:r>
        <w:rPr>
          <w:sz w:val="24"/>
          <w:szCs w:val="24"/>
        </w:rPr>
        <w:t xml:space="preserve">25.1  </w:t>
      </w:r>
      <w:r>
        <w:rPr>
          <w:rFonts w:hint="eastAsia"/>
          <w:sz w:val="24"/>
          <w:szCs w:val="24"/>
        </w:rPr>
        <w:t>中标人应按招标人规定的时间、地点与招标人签订中标合同。</w:t>
      </w:r>
    </w:p>
    <w:p>
      <w:pPr>
        <w:pStyle w:val="66"/>
        <w:numPr>
          <w:ilvl w:val="0"/>
          <w:numId w:val="0"/>
        </w:numPr>
        <w:spacing w:line="360" w:lineRule="auto"/>
        <w:ind w:left="720" w:hanging="720" w:hangingChars="300"/>
        <w:rPr>
          <w:sz w:val="24"/>
          <w:szCs w:val="24"/>
        </w:rPr>
      </w:pPr>
      <w:r>
        <w:rPr>
          <w:sz w:val="24"/>
          <w:szCs w:val="24"/>
        </w:rPr>
        <w:t xml:space="preserve">25.2  </w:t>
      </w:r>
      <w:r>
        <w:rPr>
          <w:rFonts w:hint="eastAsia"/>
          <w:sz w:val="24"/>
          <w:szCs w:val="24"/>
        </w:rPr>
        <w:t>中标人应按照招标文件、投标文件及评标过程中的有关澄清、说明或者补正文件的内容与招标人签订合同。中标人不得再与招标人签订背离合同实质性内容的其它协议或声明。</w:t>
      </w:r>
    </w:p>
    <w:p>
      <w:pPr>
        <w:pStyle w:val="66"/>
        <w:numPr>
          <w:ilvl w:val="0"/>
          <w:numId w:val="0"/>
        </w:numPr>
        <w:spacing w:line="360" w:lineRule="auto"/>
        <w:ind w:left="720" w:hanging="720" w:hangingChars="300"/>
        <w:rPr>
          <w:sz w:val="24"/>
          <w:szCs w:val="24"/>
        </w:rPr>
      </w:pPr>
      <w:r>
        <w:rPr>
          <w:sz w:val="24"/>
          <w:szCs w:val="24"/>
        </w:rPr>
        <w:t xml:space="preserve">25.3  </w:t>
      </w:r>
      <w:r>
        <w:rPr>
          <w:rFonts w:hint="eastAsia"/>
          <w:sz w:val="24"/>
          <w:szCs w:val="24"/>
        </w:rPr>
        <w:t>招标人如需追加与合同标的相同的服务，在不改变合同其他条款的前提下，中标人可与招标人协商签订补充合同，但所有补充合同的采购金额不得超过原合同金额的百分之十。</w:t>
      </w:r>
    </w:p>
    <w:p>
      <w:pPr>
        <w:pStyle w:val="66"/>
        <w:numPr>
          <w:ilvl w:val="0"/>
          <w:numId w:val="0"/>
        </w:numPr>
        <w:spacing w:line="360" w:lineRule="auto"/>
        <w:ind w:left="720" w:hanging="720" w:hangingChars="300"/>
        <w:rPr>
          <w:sz w:val="24"/>
          <w:szCs w:val="24"/>
        </w:rPr>
      </w:pPr>
      <w:r>
        <w:rPr>
          <w:sz w:val="24"/>
          <w:szCs w:val="24"/>
        </w:rPr>
        <w:t xml:space="preserve">25.4  </w:t>
      </w:r>
      <w:r>
        <w:rPr>
          <w:rFonts w:hint="eastAsia"/>
          <w:sz w:val="24"/>
          <w:szCs w:val="24"/>
        </w:rPr>
        <w:t>中标人应当自合同或补充合同签订之日起一个工作日内，将合同扫描件报招标人备案。</w:t>
      </w:r>
    </w:p>
    <w:p>
      <w:pPr>
        <w:pStyle w:val="66"/>
        <w:numPr>
          <w:ilvl w:val="0"/>
          <w:numId w:val="0"/>
        </w:numPr>
        <w:spacing w:line="360" w:lineRule="auto"/>
        <w:ind w:left="720" w:hanging="720" w:hangingChars="300"/>
        <w:rPr>
          <w:sz w:val="24"/>
          <w:szCs w:val="24"/>
        </w:rPr>
      </w:pPr>
      <w:r>
        <w:rPr>
          <w:sz w:val="24"/>
          <w:szCs w:val="24"/>
        </w:rPr>
        <w:t xml:space="preserve">25.5  </w:t>
      </w:r>
      <w:r>
        <w:rPr>
          <w:rFonts w:hint="eastAsia"/>
          <w:sz w:val="24"/>
          <w:szCs w:val="24"/>
        </w:rPr>
        <w:t>投标人一旦中标</w:t>
      </w:r>
      <w:r>
        <w:rPr>
          <w:sz w:val="24"/>
          <w:szCs w:val="24"/>
        </w:rPr>
        <w:t>,</w:t>
      </w:r>
      <w:r>
        <w:rPr>
          <w:rFonts w:hint="eastAsia"/>
          <w:sz w:val="24"/>
          <w:szCs w:val="24"/>
        </w:rPr>
        <w:t>签订合同后不得转包</w:t>
      </w:r>
      <w:r>
        <w:rPr>
          <w:sz w:val="24"/>
          <w:szCs w:val="24"/>
        </w:rPr>
        <w:t>,</w:t>
      </w:r>
      <w:r>
        <w:rPr>
          <w:rFonts w:hint="eastAsia"/>
          <w:sz w:val="24"/>
          <w:szCs w:val="24"/>
        </w:rPr>
        <w:t>否则将被视为中标后撤回投标处理。</w:t>
      </w:r>
    </w:p>
    <w:p>
      <w:pPr>
        <w:pStyle w:val="3"/>
        <w:numPr>
          <w:ilvl w:val="1"/>
          <w:numId w:val="0"/>
        </w:numPr>
        <w:spacing w:before="0" w:after="0" w:line="360" w:lineRule="auto"/>
        <w:rPr>
          <w:rFonts w:ascii="宋体" w:hAnsi="宋体" w:eastAsia="宋体" w:cs="Times New Roman"/>
          <w:sz w:val="24"/>
          <w:szCs w:val="24"/>
        </w:rPr>
      </w:pPr>
      <w:bookmarkStart w:id="47" w:name="_Toc146597854"/>
      <w:bookmarkStart w:id="48" w:name="_Toc86202589"/>
      <w:bookmarkStart w:id="49" w:name="_Toc1429143"/>
      <w:bookmarkStart w:id="50" w:name="_Toc415831326"/>
      <w:bookmarkStart w:id="51" w:name="_Toc11478"/>
      <w:r>
        <w:rPr>
          <w:rFonts w:hint="eastAsia" w:ascii="宋体" w:hAnsi="宋体" w:eastAsia="宋体" w:cs="宋体"/>
          <w:sz w:val="24"/>
          <w:szCs w:val="24"/>
        </w:rPr>
        <w:t>八、处罚、询问和质疑</w:t>
      </w:r>
      <w:bookmarkEnd w:id="47"/>
      <w:bookmarkEnd w:id="48"/>
      <w:bookmarkEnd w:id="49"/>
      <w:bookmarkEnd w:id="50"/>
      <w:bookmarkEnd w:id="51"/>
    </w:p>
    <w:p>
      <w:pPr>
        <w:spacing w:line="360" w:lineRule="auto"/>
        <w:ind w:left="720" w:hanging="720" w:hangingChars="300"/>
        <w:rPr>
          <w:rFonts w:ascii="宋体"/>
        </w:rPr>
      </w:pPr>
      <w:r>
        <w:rPr>
          <w:rFonts w:ascii="宋体" w:hAnsi="宋体" w:cs="宋体"/>
        </w:rPr>
        <w:t xml:space="preserve">28.   </w:t>
      </w:r>
      <w:r>
        <w:rPr>
          <w:rFonts w:hint="eastAsia" w:ascii="宋体" w:hAnsi="宋体" w:cs="宋体"/>
        </w:rPr>
        <w:t>发生下列情况之一，投标人的投标保证金将被没收，并被列入不良记录名单，投标人今后参与同类政府采购项目的机会可能会受到影响：</w:t>
      </w:r>
    </w:p>
    <w:p>
      <w:pPr>
        <w:spacing w:line="360" w:lineRule="auto"/>
        <w:rPr>
          <w:rFonts w:ascii="宋体"/>
        </w:rPr>
      </w:pPr>
      <w:r>
        <w:rPr>
          <w:rFonts w:ascii="宋体" w:hAnsi="宋体" w:cs="宋体"/>
        </w:rPr>
        <w:t xml:space="preserve">28.1  </w:t>
      </w:r>
      <w:r>
        <w:rPr>
          <w:rFonts w:hint="eastAsia" w:ascii="宋体" w:hAnsi="宋体" w:cs="宋体"/>
        </w:rPr>
        <w:t>开标后在投标有效期内，投标人撤回其投标；</w:t>
      </w:r>
    </w:p>
    <w:p>
      <w:pPr>
        <w:spacing w:line="360" w:lineRule="auto"/>
        <w:rPr>
          <w:rFonts w:ascii="宋体"/>
        </w:rPr>
      </w:pPr>
      <w:r>
        <w:rPr>
          <w:rFonts w:ascii="宋体" w:hAnsi="宋体" w:cs="宋体"/>
        </w:rPr>
        <w:t xml:space="preserve">28.2  </w:t>
      </w:r>
      <w:r>
        <w:rPr>
          <w:rFonts w:hint="eastAsia" w:ascii="宋体" w:hAnsi="宋体" w:cs="宋体"/>
        </w:rPr>
        <w:t>中标人未按本招标文件规定签约；</w:t>
      </w:r>
    </w:p>
    <w:p>
      <w:pPr>
        <w:spacing w:line="360" w:lineRule="auto"/>
        <w:rPr>
          <w:rFonts w:ascii="宋体"/>
        </w:rPr>
      </w:pPr>
      <w:r>
        <w:rPr>
          <w:rFonts w:ascii="宋体" w:hAnsi="宋体" w:cs="宋体"/>
        </w:rPr>
        <w:t xml:space="preserve">28.3  </w:t>
      </w:r>
      <w:r>
        <w:rPr>
          <w:rFonts w:hint="eastAsia" w:ascii="宋体" w:hAnsi="宋体" w:cs="宋体"/>
        </w:rPr>
        <w:t>中标人与招标人订立背离合同实质性内容的其它协议；</w:t>
      </w:r>
    </w:p>
    <w:p>
      <w:pPr>
        <w:spacing w:line="360" w:lineRule="auto"/>
      </w:pPr>
      <w:r>
        <w:rPr>
          <w:rFonts w:ascii="宋体" w:hAnsi="宋体" w:cs="宋体"/>
        </w:rPr>
        <w:t xml:space="preserve">28.4  </w:t>
      </w:r>
      <w:r>
        <w:rPr>
          <w:rFonts w:hint="eastAsia" w:ascii="宋体" w:hAnsi="宋体" w:cs="宋体"/>
        </w:rPr>
        <w:t>投标人其它未按招标文件规定和合同约定履行义务的行为。</w:t>
      </w:r>
    </w:p>
    <w:p>
      <w:pPr>
        <w:pStyle w:val="66"/>
        <w:numPr>
          <w:ilvl w:val="0"/>
          <w:numId w:val="0"/>
        </w:numPr>
        <w:spacing w:line="360" w:lineRule="auto"/>
        <w:rPr>
          <w:sz w:val="24"/>
          <w:szCs w:val="24"/>
        </w:rPr>
      </w:pPr>
      <w:r>
        <w:rPr>
          <w:sz w:val="24"/>
          <w:szCs w:val="24"/>
        </w:rPr>
        <w:t xml:space="preserve">29.    </w:t>
      </w:r>
      <w:r>
        <w:rPr>
          <w:rFonts w:hint="eastAsia"/>
          <w:sz w:val="24"/>
          <w:szCs w:val="24"/>
        </w:rPr>
        <w:t>投标人有权就招标程序或签订合同的事宜提出质疑</w:t>
      </w:r>
    </w:p>
    <w:p>
      <w:pPr>
        <w:pStyle w:val="66"/>
        <w:numPr>
          <w:ilvl w:val="0"/>
          <w:numId w:val="0"/>
        </w:numPr>
        <w:spacing w:line="360" w:lineRule="auto"/>
        <w:rPr>
          <w:sz w:val="24"/>
          <w:szCs w:val="24"/>
        </w:rPr>
      </w:pPr>
      <w:r>
        <w:rPr>
          <w:sz w:val="24"/>
          <w:szCs w:val="24"/>
        </w:rPr>
        <w:t xml:space="preserve">29.1   </w:t>
      </w:r>
      <w:r>
        <w:rPr>
          <w:rFonts w:hint="eastAsia"/>
          <w:sz w:val="24"/>
          <w:szCs w:val="24"/>
        </w:rPr>
        <w:t>投标人对采购事项有疑问的，可以向招标人或招标人提出询问。</w:t>
      </w:r>
    </w:p>
    <w:p>
      <w:pPr>
        <w:pStyle w:val="66"/>
        <w:numPr>
          <w:ilvl w:val="0"/>
          <w:numId w:val="0"/>
        </w:numPr>
        <w:spacing w:line="360" w:lineRule="auto"/>
        <w:ind w:left="840" w:hanging="840" w:hangingChars="350"/>
        <w:rPr>
          <w:sz w:val="24"/>
          <w:szCs w:val="24"/>
        </w:rPr>
      </w:pPr>
      <w:r>
        <w:rPr>
          <w:sz w:val="24"/>
          <w:szCs w:val="24"/>
        </w:rPr>
        <w:t xml:space="preserve">29.2   </w:t>
      </w:r>
      <w:r>
        <w:rPr>
          <w:rFonts w:hint="eastAsia"/>
          <w:sz w:val="24"/>
          <w:szCs w:val="24"/>
        </w:rPr>
        <w:t>招标程序受《中华人民共和国政府采购法》和相关法律法规的约束，并受到严格的内部监察，以确保授予合同过程的公平公正。若投标人认为其投标未获公平评审或采购文件、采购过程和中标、成交结果使自己的合法权益受到损害，可以在知道或者应知其权益受到损害之日起</w:t>
      </w:r>
      <w:r>
        <w:rPr>
          <w:sz w:val="24"/>
          <w:szCs w:val="24"/>
        </w:rPr>
        <w:t>7</w:t>
      </w:r>
      <w:r>
        <w:rPr>
          <w:rFonts w:hint="eastAsia"/>
          <w:sz w:val="24"/>
          <w:szCs w:val="24"/>
        </w:rPr>
        <w:t>个工作日内，以书面形式向招标人或招标人提出质疑并要求答复。</w:t>
      </w:r>
    </w:p>
    <w:p>
      <w:pPr>
        <w:pStyle w:val="66"/>
        <w:numPr>
          <w:ilvl w:val="0"/>
          <w:numId w:val="0"/>
        </w:numPr>
        <w:spacing w:line="360" w:lineRule="auto"/>
        <w:ind w:left="840" w:hanging="840" w:hangingChars="350"/>
        <w:rPr>
          <w:sz w:val="24"/>
          <w:szCs w:val="24"/>
        </w:rPr>
      </w:pPr>
      <w:r>
        <w:rPr>
          <w:sz w:val="24"/>
          <w:szCs w:val="24"/>
        </w:rPr>
        <w:t xml:space="preserve">29.3   </w:t>
      </w:r>
      <w:r>
        <w:rPr>
          <w:rFonts w:hint="eastAsia"/>
          <w:sz w:val="24"/>
          <w:szCs w:val="24"/>
        </w:rPr>
        <w:t>招标人或招标人将在收到书面质疑后</w:t>
      </w:r>
      <w:r>
        <w:rPr>
          <w:sz w:val="24"/>
          <w:szCs w:val="24"/>
        </w:rPr>
        <w:t>3</w:t>
      </w:r>
      <w:r>
        <w:rPr>
          <w:rFonts w:hint="eastAsia"/>
          <w:sz w:val="24"/>
          <w:szCs w:val="24"/>
        </w:rPr>
        <w:t>个工作日内审查质疑事项，作出答复或相关处理决定，并以书面形式通知质疑投标人和其他有关服务商，但答复的内容不涉及商业秘密。若质疑涉及招标制度或程序，将被转交政府采购的管理部门审查。</w:t>
      </w:r>
    </w:p>
    <w:p>
      <w:pPr>
        <w:pStyle w:val="66"/>
        <w:numPr>
          <w:ilvl w:val="0"/>
          <w:numId w:val="0"/>
        </w:numPr>
        <w:spacing w:line="360" w:lineRule="auto"/>
        <w:ind w:left="840" w:hanging="840" w:hangingChars="350"/>
        <w:rPr>
          <w:sz w:val="24"/>
          <w:szCs w:val="24"/>
        </w:rPr>
      </w:pPr>
      <w:r>
        <w:rPr>
          <w:sz w:val="24"/>
          <w:szCs w:val="24"/>
        </w:rPr>
        <w:t xml:space="preserve">29.4   </w:t>
      </w:r>
      <w:r>
        <w:rPr>
          <w:rFonts w:hint="eastAsia"/>
          <w:sz w:val="24"/>
          <w:szCs w:val="24"/>
        </w:rPr>
        <w:t>质疑投标人对招标人或招标人的答复不满意以及招标人或招标人未在规定的时间内做出答复的，可以在答复期满后</w:t>
      </w:r>
      <w:r>
        <w:rPr>
          <w:sz w:val="24"/>
          <w:szCs w:val="24"/>
        </w:rPr>
        <w:t>15</w:t>
      </w:r>
      <w:r>
        <w:rPr>
          <w:rFonts w:hint="eastAsia"/>
          <w:sz w:val="24"/>
          <w:szCs w:val="24"/>
        </w:rPr>
        <w:t>个工作日内向财政部门投诉。</w:t>
      </w:r>
    </w:p>
    <w:p>
      <w:pPr>
        <w:spacing w:line="360" w:lineRule="auto"/>
        <w:ind w:left="720" w:hanging="720"/>
        <w:jc w:val="both"/>
        <w:rPr>
          <w:rFonts w:ascii="宋体"/>
        </w:rPr>
      </w:pPr>
    </w:p>
    <w:p>
      <w:pPr>
        <w:pStyle w:val="3"/>
        <w:numPr>
          <w:ilvl w:val="1"/>
          <w:numId w:val="0"/>
        </w:numPr>
        <w:spacing w:before="0" w:after="0" w:line="360" w:lineRule="auto"/>
        <w:rPr>
          <w:rFonts w:ascii="宋体" w:hAnsi="宋体" w:eastAsia="宋体" w:cs="Times New Roman"/>
          <w:sz w:val="24"/>
          <w:szCs w:val="24"/>
        </w:rPr>
      </w:pPr>
      <w:bookmarkStart w:id="52" w:name="_Toc146597855"/>
      <w:bookmarkStart w:id="53" w:name="_Toc29480"/>
      <w:bookmarkStart w:id="54" w:name="_Toc415831327"/>
      <w:bookmarkStart w:id="55" w:name="_Toc1429144"/>
      <w:bookmarkStart w:id="56" w:name="_Toc86202590"/>
      <w:r>
        <w:rPr>
          <w:rFonts w:hint="eastAsia" w:ascii="宋体" w:hAnsi="宋体" w:eastAsia="宋体" w:cs="宋体"/>
          <w:sz w:val="24"/>
          <w:szCs w:val="24"/>
        </w:rPr>
        <w:t>九、保密和披露</w:t>
      </w:r>
      <w:bookmarkEnd w:id="52"/>
      <w:bookmarkEnd w:id="53"/>
      <w:bookmarkEnd w:id="54"/>
      <w:bookmarkEnd w:id="55"/>
      <w:bookmarkEnd w:id="56"/>
    </w:p>
    <w:p>
      <w:pPr>
        <w:pStyle w:val="66"/>
        <w:numPr>
          <w:ilvl w:val="0"/>
          <w:numId w:val="0"/>
        </w:numPr>
        <w:spacing w:line="360" w:lineRule="auto"/>
        <w:rPr>
          <w:sz w:val="24"/>
          <w:szCs w:val="24"/>
        </w:rPr>
      </w:pPr>
      <w:r>
        <w:rPr>
          <w:sz w:val="24"/>
          <w:szCs w:val="24"/>
        </w:rPr>
        <w:t xml:space="preserve">30.   </w:t>
      </w:r>
      <w:r>
        <w:rPr>
          <w:rFonts w:hint="eastAsia"/>
          <w:sz w:val="24"/>
          <w:szCs w:val="24"/>
        </w:rPr>
        <w:t>保密和披露</w:t>
      </w:r>
    </w:p>
    <w:p>
      <w:pPr>
        <w:pStyle w:val="66"/>
        <w:numPr>
          <w:ilvl w:val="0"/>
          <w:numId w:val="0"/>
        </w:numPr>
        <w:spacing w:line="360" w:lineRule="auto"/>
        <w:ind w:left="689" w:hanging="688" w:hangingChars="287"/>
        <w:rPr>
          <w:sz w:val="24"/>
          <w:szCs w:val="24"/>
        </w:rPr>
      </w:pPr>
      <w:r>
        <w:rPr>
          <w:sz w:val="24"/>
          <w:szCs w:val="24"/>
        </w:rPr>
        <w:t xml:space="preserve">30.1  </w:t>
      </w:r>
      <w:r>
        <w:rPr>
          <w:rFonts w:hint="eastAsia"/>
          <w:sz w:val="24"/>
          <w:szCs w:val="24"/>
        </w:rPr>
        <w:t>投标人自领取招标文件之日起，须承诺承担本招标项目下保密义务，不得将因本次招标获得的信息向第三人外传。</w:t>
      </w:r>
    </w:p>
    <w:p>
      <w:pPr>
        <w:spacing w:line="360" w:lineRule="auto"/>
        <w:ind w:left="713" w:hanging="712" w:hangingChars="297"/>
        <w:jc w:val="both"/>
        <w:rPr>
          <w:rFonts w:ascii="宋体"/>
        </w:rPr>
      </w:pPr>
      <w:r>
        <w:rPr>
          <w:rFonts w:ascii="宋体" w:hAnsi="宋体" w:cs="宋体"/>
        </w:rPr>
        <w:t xml:space="preserve">30.2  </w:t>
      </w:r>
      <w:r>
        <w:rPr>
          <w:rFonts w:hint="eastAsia" w:ascii="宋体" w:hAnsi="宋体" w:cs="宋体"/>
        </w:rPr>
        <w:t>招标人有权将投标人提供的所有资料向其他政府部门或有关的非政府机构负责评审标书的人员或与评标有关的人员披露。</w:t>
      </w:r>
    </w:p>
    <w:p>
      <w:pPr>
        <w:spacing w:line="360" w:lineRule="auto"/>
        <w:ind w:left="684" w:hanging="684" w:hangingChars="285"/>
        <w:rPr>
          <w:rFonts w:ascii="宋体"/>
        </w:rPr>
      </w:pPr>
      <w:r>
        <w:rPr>
          <w:rFonts w:ascii="宋体" w:hAnsi="宋体" w:cs="宋体"/>
        </w:rPr>
        <w:t xml:space="preserve">30.3  </w:t>
      </w:r>
      <w:r>
        <w:rPr>
          <w:rFonts w:hint="eastAsia" w:ascii="宋体" w:hAnsi="宋体" w:cs="宋体"/>
        </w:rPr>
        <w:t>招标人有权在认为适当时，或在任何第三人提出要求（书面或其他方式）时，无须事先征求中标人同意而披露关于已订立合同的资料、中标人的名称及地址、中标货物的有关信息以及合同条款等。</w:t>
      </w:r>
    </w:p>
    <w:p>
      <w:pPr>
        <w:spacing w:line="360" w:lineRule="auto"/>
        <w:ind w:left="684" w:hanging="684" w:hangingChars="285"/>
        <w:rPr>
          <w:rFonts w:ascii="宋体"/>
          <w:color w:val="4F81BD"/>
        </w:rPr>
      </w:pPr>
    </w:p>
    <w:p>
      <w:pPr>
        <w:pStyle w:val="3"/>
        <w:numPr>
          <w:ilvl w:val="1"/>
          <w:numId w:val="0"/>
        </w:numPr>
        <w:spacing w:before="0" w:after="0" w:line="360" w:lineRule="auto"/>
        <w:rPr>
          <w:rFonts w:ascii="宋体" w:hAnsi="宋体" w:eastAsia="宋体" w:cs="Times New Roman"/>
          <w:color w:val="000000"/>
          <w:sz w:val="24"/>
          <w:szCs w:val="24"/>
        </w:rPr>
      </w:pPr>
      <w:bookmarkStart w:id="57" w:name="_Toc353867962"/>
      <w:bookmarkStart w:id="58" w:name="_Toc415831328"/>
      <w:bookmarkStart w:id="59" w:name="_Toc29460"/>
      <w:bookmarkStart w:id="60" w:name="_Toc1429145"/>
      <w:bookmarkStart w:id="61" w:name="_Toc322508766"/>
      <w:bookmarkStart w:id="62" w:name="_Toc330482287"/>
      <w:r>
        <w:rPr>
          <w:rFonts w:hint="eastAsia" w:ascii="宋体" w:hAnsi="宋体" w:eastAsia="宋体" w:cs="宋体"/>
          <w:color w:val="000000"/>
          <w:sz w:val="24"/>
          <w:szCs w:val="24"/>
        </w:rPr>
        <w:t>十、节能产品和环境认证产品</w:t>
      </w:r>
      <w:bookmarkEnd w:id="57"/>
      <w:bookmarkEnd w:id="58"/>
      <w:bookmarkEnd w:id="59"/>
      <w:bookmarkEnd w:id="60"/>
      <w:bookmarkEnd w:id="61"/>
      <w:bookmarkEnd w:id="62"/>
    </w:p>
    <w:p>
      <w:pPr>
        <w:spacing w:line="360" w:lineRule="auto"/>
        <w:ind w:left="713" w:hanging="712" w:hangingChars="297"/>
        <w:jc w:val="both"/>
        <w:rPr>
          <w:rFonts w:ascii="宋体"/>
          <w:color w:val="000000"/>
        </w:rPr>
      </w:pPr>
      <w:r>
        <w:rPr>
          <w:rFonts w:ascii="宋体" w:hAnsi="宋体" w:cs="宋体"/>
          <w:color w:val="000000"/>
        </w:rPr>
        <w:t>31.1</w:t>
      </w:r>
      <w:r>
        <w:rPr>
          <w:rFonts w:ascii="宋体" w:hAnsi="宋体" w:cs="宋体"/>
          <w:color w:val="000000"/>
        </w:rPr>
        <w:tab/>
      </w:r>
      <w:r>
        <w:rPr>
          <w:rFonts w:hint="eastAsia" w:ascii="宋体" w:hAnsi="宋体" w:cs="宋体"/>
          <w:color w:val="000000"/>
        </w:rPr>
        <w:t>本项目优先采购节能产品，以中国政府采购网（</w:t>
      </w:r>
      <w:r>
        <w:rPr>
          <w:rFonts w:ascii="宋体" w:hAnsi="宋体" w:cs="宋体"/>
          <w:color w:val="000000"/>
        </w:rPr>
        <w:t>http://www.ccgp.gov.cn/</w:t>
      </w:r>
      <w:r>
        <w:rPr>
          <w:rFonts w:hint="eastAsia" w:ascii="宋体" w:hAnsi="宋体" w:cs="宋体"/>
          <w:color w:val="000000"/>
        </w:rPr>
        <w:t>）、中国环境网（</w:t>
      </w:r>
      <w:r>
        <w:rPr>
          <w:rFonts w:ascii="宋体" w:hAnsi="宋体" w:cs="宋体"/>
          <w:color w:val="000000"/>
        </w:rPr>
        <w:t>http://www.cenews.com.cn/</w:t>
      </w:r>
      <w:r>
        <w:rPr>
          <w:rFonts w:hint="eastAsia" w:ascii="宋体" w:hAnsi="宋体" w:cs="宋体"/>
          <w:color w:val="000000"/>
        </w:rPr>
        <w:t>）、中国节能节水环保认证网（</w:t>
      </w:r>
      <w:r>
        <w:rPr>
          <w:rFonts w:ascii="宋体" w:hAnsi="宋体" w:cs="宋体"/>
          <w:color w:val="000000"/>
        </w:rPr>
        <w:t>http://agripollute.nstl.gov.cn/MirrorResources/1514/</w:t>
      </w:r>
      <w:r>
        <w:rPr>
          <w:rFonts w:hint="eastAsia" w:ascii="宋体" w:hAnsi="宋体" w:cs="宋体"/>
          <w:color w:val="000000"/>
        </w:rPr>
        <w:t>）上公布的最新一期清单为准，节能清单中的产品有效时间以国家节能产品认证证书有效截止日期为准，超过认证证书有效截止日期的自动失效。</w:t>
      </w:r>
    </w:p>
    <w:p>
      <w:pPr>
        <w:spacing w:line="360" w:lineRule="auto"/>
        <w:ind w:left="713" w:hanging="712" w:hangingChars="297"/>
        <w:jc w:val="both"/>
        <w:rPr>
          <w:rFonts w:ascii="宋体"/>
          <w:color w:val="000000"/>
        </w:rPr>
      </w:pPr>
      <w:r>
        <w:rPr>
          <w:rFonts w:ascii="宋体" w:hAnsi="宋体" w:cs="宋体"/>
          <w:color w:val="000000"/>
        </w:rPr>
        <w:t xml:space="preserve">31.2  </w:t>
      </w:r>
      <w:r>
        <w:rPr>
          <w:rFonts w:hint="eastAsia" w:ascii="宋体" w:hAnsi="宋体" w:cs="宋体"/>
          <w:color w:val="000000"/>
        </w:rPr>
        <w:t>采购人购买的产品属于政府强制采购节能产品范围的，应当按照《国务院办公厅关于建立政府强制采购节能产品制度的通知》（国办发</w:t>
      </w:r>
      <w:r>
        <w:rPr>
          <w:rFonts w:ascii="宋体" w:hAnsi="宋体" w:cs="宋体"/>
          <w:color w:val="000000"/>
        </w:rPr>
        <w:t>[2007]51</w:t>
      </w:r>
      <w:r>
        <w:rPr>
          <w:rFonts w:hint="eastAsia" w:ascii="宋体" w:hAnsi="宋体" w:cs="宋体"/>
          <w:color w:val="000000"/>
        </w:rPr>
        <w:t>号）和财政部、发展改革委公布的最新一期“节能产品政府采购清单”，在强制采购节能产品范围内购买。对于同时列入环保清单和“节能产品政府采购清单”的产品，应当优先于只获得其中一项认证的产品。环保清单在中国政府采购网（</w:t>
      </w:r>
      <w:r>
        <w:rPr>
          <w:rFonts w:ascii="宋体" w:hAnsi="宋体" w:cs="宋体"/>
          <w:color w:val="000000"/>
        </w:rPr>
        <w:t>http://www.ccgp.gov.cn/</w:t>
      </w:r>
      <w:r>
        <w:rPr>
          <w:rFonts w:hint="eastAsia" w:ascii="宋体" w:hAnsi="宋体" w:cs="宋体"/>
          <w:color w:val="000000"/>
        </w:rPr>
        <w:t>）、中华人民共和国环境保护部校园信息化（</w:t>
      </w:r>
      <w:r>
        <w:rPr>
          <w:rFonts w:ascii="宋体" w:hAnsi="宋体" w:cs="宋体"/>
          <w:color w:val="000000"/>
        </w:rPr>
        <w:t>http://www.zhb.gov.cn</w:t>
      </w:r>
      <w:r>
        <w:rPr>
          <w:rFonts w:hint="eastAsia" w:ascii="宋体" w:hAnsi="宋体" w:cs="宋体"/>
          <w:color w:val="000000"/>
        </w:rPr>
        <w:t>）、中国绿色采购网（</w:t>
      </w:r>
      <w:r>
        <w:rPr>
          <w:rFonts w:ascii="宋体" w:hAnsi="宋体" w:cs="宋体"/>
          <w:color w:val="000000"/>
        </w:rPr>
        <w:t>http://www.cgpn. org/</w:t>
      </w:r>
      <w:r>
        <w:rPr>
          <w:rFonts w:hint="eastAsia" w:ascii="宋体" w:hAnsi="宋体" w:cs="宋体"/>
          <w:color w:val="000000"/>
        </w:rPr>
        <w:t>）上公示。</w:t>
      </w:r>
    </w:p>
    <w:p>
      <w:pPr>
        <w:spacing w:line="360" w:lineRule="auto"/>
        <w:jc w:val="both"/>
        <w:rPr>
          <w:rFonts w:ascii="宋体"/>
        </w:rPr>
      </w:pPr>
    </w:p>
    <w:p>
      <w:pPr>
        <w:ind w:left="713" w:hanging="712" w:hangingChars="297"/>
        <w:rPr>
          <w:rFonts w:ascii="宋体"/>
        </w:rPr>
      </w:pPr>
    </w:p>
    <w:p>
      <w:r>
        <w:br w:type="page"/>
      </w:r>
      <w:bookmarkStart w:id="63" w:name="_Toc146597856"/>
    </w:p>
    <w:p>
      <w:pPr>
        <w:pStyle w:val="2"/>
        <w:numPr>
          <w:ilvl w:val="0"/>
          <w:numId w:val="0"/>
        </w:numPr>
        <w:spacing w:before="0" w:after="0" w:line="360" w:lineRule="auto"/>
        <w:ind w:firstLine="1928" w:firstLineChars="600"/>
        <w:rPr>
          <w:rFonts w:ascii="宋体"/>
          <w:sz w:val="32"/>
          <w:szCs w:val="32"/>
        </w:rPr>
      </w:pPr>
      <w:bookmarkStart w:id="64" w:name="_Toc1429147"/>
      <w:r>
        <w:rPr>
          <w:rFonts w:hint="eastAsia" w:ascii="宋体" w:hAnsi="宋体" w:cs="宋体"/>
          <w:sz w:val="32"/>
          <w:szCs w:val="32"/>
        </w:rPr>
        <w:t>第四部分</w:t>
      </w:r>
      <w:r>
        <w:rPr>
          <w:rFonts w:ascii="宋体" w:hAnsi="宋体" w:cs="宋体"/>
          <w:sz w:val="32"/>
          <w:szCs w:val="32"/>
        </w:rPr>
        <w:t xml:space="preserve">  </w:t>
      </w:r>
      <w:r>
        <w:rPr>
          <w:rFonts w:hint="eastAsia" w:ascii="宋体" w:hAnsi="宋体" w:cs="宋体"/>
          <w:sz w:val="32"/>
          <w:szCs w:val="32"/>
        </w:rPr>
        <w:t>评标细则和评分方法</w:t>
      </w:r>
      <w:bookmarkEnd w:id="63"/>
      <w:bookmarkEnd w:id="64"/>
    </w:p>
    <w:p>
      <w:pPr>
        <w:pStyle w:val="66"/>
        <w:numPr>
          <w:ilvl w:val="0"/>
          <w:numId w:val="0"/>
        </w:numPr>
        <w:spacing w:line="280" w:lineRule="exact"/>
        <w:rPr>
          <w:b/>
          <w:bCs/>
          <w:sz w:val="24"/>
          <w:szCs w:val="24"/>
        </w:rPr>
      </w:pPr>
      <w:bookmarkStart w:id="65" w:name="_Toc414523502"/>
      <w:bookmarkStart w:id="66" w:name="_Toc393092562"/>
    </w:p>
    <w:p>
      <w:pPr>
        <w:spacing w:line="360" w:lineRule="auto"/>
        <w:ind w:firstLine="420"/>
        <w:rPr>
          <w:rFonts w:ascii="宋体"/>
        </w:rPr>
      </w:pPr>
      <w:r>
        <w:rPr>
          <w:rFonts w:hint="eastAsia" w:ascii="宋体" w:hAnsi="宋体" w:cs="宋体"/>
        </w:rPr>
        <w:t>本项目采用综合评分法，是指在最大限度地满足招标文件实质性要求前提下，按照招标文件中规定的各项因素进行综合评审后，以评标总得分最高的投标人作为中标候选人的评标方法。具体评分计算方法如下：</w:t>
      </w:r>
    </w:p>
    <w:p>
      <w:pPr>
        <w:jc w:val="center"/>
        <w:rPr>
          <w:rFonts w:ascii="宋体"/>
        </w:rPr>
      </w:pPr>
    </w:p>
    <w:p>
      <w:pPr>
        <w:rPr>
          <w:rFonts w:ascii="宋体"/>
        </w:rPr>
      </w:pPr>
      <w:r>
        <w:rPr>
          <w:rFonts w:hint="eastAsia" w:ascii="宋体" w:hAnsi="宋体" w:cs="宋体"/>
        </w:rPr>
        <w:t>注：得分保留小数点后两位。</w:t>
      </w:r>
    </w:p>
    <w:p>
      <w:pPr>
        <w:spacing w:beforeLines="50" w:line="360" w:lineRule="auto"/>
        <w:rPr>
          <w:rFonts w:ascii="Arial" w:hAnsi="Arial" w:cs="Arial"/>
        </w:rPr>
      </w:pPr>
      <w:r>
        <w:rPr>
          <w:rFonts w:ascii="Arial" w:hAnsi="Arial" w:cs="Arial"/>
        </w:rPr>
        <w:t>1</w:t>
      </w:r>
      <w:r>
        <w:rPr>
          <w:rFonts w:hint="eastAsia" w:ascii="Arial" w:hAnsi="Arial" w:cs="宋体"/>
        </w:rPr>
        <w:t>、评分因素及分值</w:t>
      </w:r>
    </w:p>
    <w:p>
      <w:pPr>
        <w:spacing w:beforeLines="50" w:line="360" w:lineRule="auto"/>
        <w:rPr>
          <w:rFonts w:ascii="Arial" w:hAnsi="Arial" w:cs="Arial"/>
        </w:rPr>
      </w:pPr>
    </w:p>
    <w:tbl>
      <w:tblPr>
        <w:tblStyle w:val="34"/>
        <w:tblW w:w="8956" w:type="dxa"/>
        <w:tblInd w:w="-2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908"/>
        <w:gridCol w:w="2556"/>
        <w:gridCol w:w="1030"/>
        <w:gridCol w:w="446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trHeight w:val="172" w:hRule="atLeast"/>
        </w:trPr>
        <w:tc>
          <w:tcPr>
            <w:tcW w:w="908" w:type="dxa"/>
            <w:vAlign w:val="center"/>
          </w:tcPr>
          <w:p>
            <w:pPr>
              <w:snapToGrid w:val="0"/>
              <w:spacing w:line="360" w:lineRule="auto"/>
              <w:ind w:right="-28"/>
              <w:jc w:val="center"/>
              <w:rPr>
                <w:rFonts w:ascii="Arial" w:hAnsi="Arial" w:cs="Arial"/>
                <w:b/>
                <w:bCs/>
              </w:rPr>
            </w:pPr>
            <w:r>
              <w:rPr>
                <w:rFonts w:hint="eastAsia" w:ascii="Arial" w:hAnsi="Arial" w:cs="宋体"/>
                <w:b/>
                <w:bCs/>
              </w:rPr>
              <w:t>序号</w:t>
            </w:r>
          </w:p>
        </w:tc>
        <w:tc>
          <w:tcPr>
            <w:tcW w:w="2556" w:type="dxa"/>
            <w:vAlign w:val="center"/>
          </w:tcPr>
          <w:p>
            <w:pPr>
              <w:snapToGrid w:val="0"/>
              <w:spacing w:line="360" w:lineRule="auto"/>
              <w:jc w:val="center"/>
              <w:rPr>
                <w:rFonts w:ascii="Arial" w:hAnsi="Arial" w:cs="Arial"/>
                <w:b/>
                <w:bCs/>
              </w:rPr>
            </w:pPr>
            <w:r>
              <w:rPr>
                <w:rFonts w:hint="eastAsia" w:ascii="Arial" w:hAnsi="Arial" w:cs="宋体"/>
                <w:b/>
                <w:bCs/>
              </w:rPr>
              <w:t>评分标准</w:t>
            </w:r>
          </w:p>
        </w:tc>
        <w:tc>
          <w:tcPr>
            <w:tcW w:w="1030" w:type="dxa"/>
            <w:vAlign w:val="center"/>
          </w:tcPr>
          <w:p>
            <w:pPr>
              <w:snapToGrid w:val="0"/>
              <w:spacing w:line="360" w:lineRule="auto"/>
              <w:ind w:left="113"/>
              <w:jc w:val="center"/>
              <w:rPr>
                <w:rFonts w:ascii="Arial" w:hAnsi="Arial" w:cs="Arial"/>
                <w:b/>
                <w:bCs/>
              </w:rPr>
            </w:pPr>
            <w:r>
              <w:rPr>
                <w:rFonts w:hint="eastAsia" w:ascii="Arial" w:hAnsi="Arial" w:cs="宋体"/>
                <w:b/>
                <w:bCs/>
              </w:rPr>
              <w:t>分值</w:t>
            </w:r>
          </w:p>
        </w:tc>
        <w:tc>
          <w:tcPr>
            <w:tcW w:w="4462" w:type="dxa"/>
            <w:vAlign w:val="center"/>
          </w:tcPr>
          <w:p>
            <w:pPr>
              <w:snapToGrid w:val="0"/>
              <w:spacing w:line="360" w:lineRule="auto"/>
              <w:ind w:left="113"/>
              <w:jc w:val="center"/>
              <w:rPr>
                <w:rFonts w:ascii="Arial" w:hAnsi="Arial" w:cs="Arial"/>
                <w:b/>
                <w:bCs/>
              </w:rPr>
            </w:pPr>
            <w:r>
              <w:rPr>
                <w:rFonts w:hint="eastAsia" w:ascii="Arial" w:hAnsi="Arial" w:cs="宋体"/>
                <w:b/>
                <w:bCs/>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65" w:hRule="atLeast"/>
        </w:trPr>
        <w:tc>
          <w:tcPr>
            <w:tcW w:w="908" w:type="dxa"/>
            <w:vAlign w:val="center"/>
          </w:tcPr>
          <w:p>
            <w:pPr>
              <w:spacing w:line="360" w:lineRule="auto"/>
              <w:ind w:right="-28"/>
              <w:jc w:val="center"/>
              <w:rPr>
                <w:rFonts w:ascii="Arial" w:hAnsi="Arial" w:cs="Arial"/>
              </w:rPr>
            </w:pPr>
            <w:r>
              <w:rPr>
                <w:rFonts w:ascii="Arial" w:hAnsi="Arial" w:cs="Arial"/>
              </w:rPr>
              <w:t>1</w:t>
            </w:r>
          </w:p>
        </w:tc>
        <w:tc>
          <w:tcPr>
            <w:tcW w:w="2556" w:type="dxa"/>
            <w:vAlign w:val="center"/>
          </w:tcPr>
          <w:p>
            <w:pPr>
              <w:spacing w:line="360" w:lineRule="auto"/>
              <w:jc w:val="center"/>
              <w:rPr>
                <w:rFonts w:ascii="Arial" w:hAnsi="Arial" w:cs="Arial"/>
              </w:rPr>
            </w:pPr>
            <w:r>
              <w:rPr>
                <w:rFonts w:hint="eastAsia" w:ascii="Arial" w:hAnsi="Arial" w:cs="宋体"/>
              </w:rPr>
              <w:t>价格部分</w:t>
            </w:r>
          </w:p>
        </w:tc>
        <w:tc>
          <w:tcPr>
            <w:tcW w:w="1030" w:type="dxa"/>
            <w:vAlign w:val="center"/>
          </w:tcPr>
          <w:p>
            <w:pPr>
              <w:spacing w:line="360" w:lineRule="auto"/>
              <w:ind w:left="113"/>
              <w:jc w:val="center"/>
              <w:rPr>
                <w:rFonts w:ascii="Arial" w:hAnsi="Arial" w:cs="Arial"/>
              </w:rPr>
            </w:pPr>
            <w:r>
              <w:rPr>
                <w:rFonts w:hint="eastAsia" w:ascii="Arial" w:hAnsi="Arial" w:cs="Arial"/>
              </w:rPr>
              <w:t>55</w:t>
            </w:r>
          </w:p>
        </w:tc>
        <w:tc>
          <w:tcPr>
            <w:tcW w:w="4462" w:type="dxa"/>
            <w:vMerge w:val="restart"/>
            <w:vAlign w:val="center"/>
          </w:tcPr>
          <w:p>
            <w:pPr>
              <w:spacing w:line="360" w:lineRule="auto"/>
              <w:ind w:left="113"/>
              <w:jc w:val="center"/>
              <w:rPr>
                <w:rFonts w:ascii="Arial" w:hAnsi="Arial" w:cs="Arial"/>
              </w:rPr>
            </w:pPr>
            <w:r>
              <w:rPr>
                <w:rFonts w:hint="eastAsia" w:ascii="Arial" w:hAnsi="Arial" w:cs="宋体"/>
              </w:rPr>
              <w:t>详细的评标内容见下述评分标准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65" w:hRule="atLeast"/>
        </w:trPr>
        <w:tc>
          <w:tcPr>
            <w:tcW w:w="908" w:type="dxa"/>
            <w:vAlign w:val="center"/>
          </w:tcPr>
          <w:p>
            <w:pPr>
              <w:spacing w:line="360" w:lineRule="auto"/>
              <w:ind w:right="-28"/>
              <w:jc w:val="center"/>
              <w:rPr>
                <w:rFonts w:ascii="Arial" w:hAnsi="Arial" w:cs="Arial"/>
              </w:rPr>
            </w:pPr>
            <w:r>
              <w:rPr>
                <w:rFonts w:ascii="Arial" w:hAnsi="Arial" w:cs="Arial"/>
              </w:rPr>
              <w:t>2</w:t>
            </w:r>
          </w:p>
        </w:tc>
        <w:tc>
          <w:tcPr>
            <w:tcW w:w="2556" w:type="dxa"/>
            <w:vAlign w:val="center"/>
          </w:tcPr>
          <w:p>
            <w:pPr>
              <w:spacing w:line="360" w:lineRule="auto"/>
              <w:jc w:val="center"/>
              <w:rPr>
                <w:rFonts w:ascii="Arial" w:hAnsi="Arial" w:cs="Arial"/>
              </w:rPr>
            </w:pPr>
            <w:r>
              <w:rPr>
                <w:rFonts w:hint="eastAsia" w:ascii="Arial" w:hAnsi="Arial" w:cs="宋体"/>
              </w:rPr>
              <w:t>商务部分</w:t>
            </w:r>
          </w:p>
        </w:tc>
        <w:tc>
          <w:tcPr>
            <w:tcW w:w="1030" w:type="dxa"/>
            <w:vAlign w:val="center"/>
          </w:tcPr>
          <w:p>
            <w:pPr>
              <w:spacing w:line="360" w:lineRule="auto"/>
              <w:ind w:left="113"/>
              <w:jc w:val="center"/>
              <w:rPr>
                <w:rFonts w:ascii="Arial" w:hAnsi="Arial" w:cs="Arial"/>
              </w:rPr>
            </w:pPr>
            <w:r>
              <w:rPr>
                <w:rFonts w:hint="eastAsia" w:ascii="Arial" w:hAnsi="Arial" w:cs="Arial"/>
              </w:rPr>
              <w:t>25</w:t>
            </w:r>
          </w:p>
        </w:tc>
        <w:tc>
          <w:tcPr>
            <w:tcW w:w="4462" w:type="dxa"/>
            <w:vMerge w:val="continue"/>
            <w:vAlign w:val="center"/>
          </w:tcPr>
          <w:p>
            <w:pPr>
              <w:spacing w:line="360" w:lineRule="auto"/>
              <w:ind w:left="113"/>
              <w:jc w:val="center"/>
              <w:rPr>
                <w:rFonts w:ascii="Arial" w:hAnsi="Arial" w:cs="Arial"/>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65" w:hRule="atLeast"/>
        </w:trPr>
        <w:tc>
          <w:tcPr>
            <w:tcW w:w="908" w:type="dxa"/>
            <w:vAlign w:val="center"/>
          </w:tcPr>
          <w:p>
            <w:pPr>
              <w:spacing w:line="360" w:lineRule="auto"/>
              <w:ind w:right="-28"/>
              <w:jc w:val="center"/>
              <w:rPr>
                <w:rFonts w:ascii="Arial" w:hAnsi="Arial" w:cs="Arial"/>
              </w:rPr>
            </w:pPr>
            <w:r>
              <w:rPr>
                <w:rFonts w:ascii="Arial" w:hAnsi="Arial" w:cs="Arial"/>
              </w:rPr>
              <w:t>3</w:t>
            </w:r>
          </w:p>
        </w:tc>
        <w:tc>
          <w:tcPr>
            <w:tcW w:w="2556" w:type="dxa"/>
            <w:vAlign w:val="center"/>
          </w:tcPr>
          <w:p>
            <w:pPr>
              <w:spacing w:line="360" w:lineRule="auto"/>
              <w:jc w:val="center"/>
              <w:rPr>
                <w:rFonts w:ascii="Arial" w:hAnsi="Arial" w:cs="Arial"/>
              </w:rPr>
            </w:pPr>
            <w:r>
              <w:rPr>
                <w:rFonts w:hint="eastAsia" w:ascii="Arial" w:hAnsi="Arial" w:cs="宋体"/>
              </w:rPr>
              <w:t>技术部分</w:t>
            </w:r>
          </w:p>
        </w:tc>
        <w:tc>
          <w:tcPr>
            <w:tcW w:w="1030" w:type="dxa"/>
            <w:vAlign w:val="center"/>
          </w:tcPr>
          <w:p>
            <w:pPr>
              <w:spacing w:line="360" w:lineRule="auto"/>
              <w:ind w:left="113"/>
              <w:jc w:val="center"/>
              <w:rPr>
                <w:rFonts w:ascii="Arial" w:hAnsi="Arial" w:cs="Arial"/>
              </w:rPr>
            </w:pPr>
            <w:r>
              <w:rPr>
                <w:rFonts w:hint="eastAsia" w:ascii="Arial" w:hAnsi="Arial" w:cs="Arial"/>
              </w:rPr>
              <w:t>20</w:t>
            </w:r>
          </w:p>
        </w:tc>
        <w:tc>
          <w:tcPr>
            <w:tcW w:w="4462" w:type="dxa"/>
            <w:vMerge w:val="continue"/>
            <w:vAlign w:val="center"/>
          </w:tcPr>
          <w:p>
            <w:pPr>
              <w:spacing w:line="360" w:lineRule="auto"/>
              <w:ind w:left="113"/>
              <w:jc w:val="center"/>
              <w:rPr>
                <w:rFonts w:ascii="Arial" w:hAnsi="Arial" w:cs="Arial"/>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65" w:hRule="atLeast"/>
        </w:trPr>
        <w:tc>
          <w:tcPr>
            <w:tcW w:w="3464" w:type="dxa"/>
            <w:gridSpan w:val="2"/>
            <w:vAlign w:val="center"/>
          </w:tcPr>
          <w:p>
            <w:pPr>
              <w:spacing w:line="360" w:lineRule="auto"/>
              <w:ind w:left="113"/>
              <w:jc w:val="center"/>
              <w:rPr>
                <w:rFonts w:ascii="Arial" w:hAnsi="Arial" w:cs="Arial"/>
              </w:rPr>
            </w:pPr>
            <w:r>
              <w:rPr>
                <w:rFonts w:hint="eastAsia" w:ascii="Arial" w:hAnsi="Arial" w:cs="宋体"/>
              </w:rPr>
              <w:t>合计</w:t>
            </w:r>
          </w:p>
        </w:tc>
        <w:tc>
          <w:tcPr>
            <w:tcW w:w="1030" w:type="dxa"/>
            <w:vAlign w:val="center"/>
          </w:tcPr>
          <w:p>
            <w:pPr>
              <w:spacing w:line="360" w:lineRule="auto"/>
              <w:ind w:left="113"/>
              <w:jc w:val="center"/>
              <w:rPr>
                <w:rFonts w:ascii="Arial" w:hAnsi="Arial" w:cs="Arial"/>
              </w:rPr>
            </w:pPr>
            <w:r>
              <w:rPr>
                <w:rFonts w:ascii="Arial" w:hAnsi="Arial" w:cs="Arial"/>
              </w:rPr>
              <w:t>100</w:t>
            </w:r>
          </w:p>
        </w:tc>
        <w:tc>
          <w:tcPr>
            <w:tcW w:w="4462" w:type="dxa"/>
            <w:vAlign w:val="center"/>
          </w:tcPr>
          <w:p>
            <w:pPr>
              <w:spacing w:line="360" w:lineRule="auto"/>
              <w:ind w:left="113"/>
              <w:jc w:val="center"/>
              <w:rPr>
                <w:rFonts w:ascii="Arial" w:hAnsi="Arial" w:cs="Arial"/>
              </w:rPr>
            </w:pPr>
          </w:p>
        </w:tc>
      </w:tr>
    </w:tbl>
    <w:p>
      <w:pPr>
        <w:spacing w:line="360" w:lineRule="auto"/>
        <w:rPr>
          <w:rFonts w:ascii="Arial" w:hAnsi="Arial" w:cs="Arial"/>
        </w:rPr>
      </w:pPr>
    </w:p>
    <w:p>
      <w:pPr>
        <w:spacing w:line="360" w:lineRule="auto"/>
        <w:rPr>
          <w:rFonts w:ascii="Arial" w:hAnsi="Arial" w:cs="Arial"/>
        </w:rPr>
      </w:pPr>
      <w:r>
        <w:rPr>
          <w:rFonts w:ascii="Arial" w:hAnsi="Arial" w:cs="Arial"/>
        </w:rPr>
        <w:t>2</w:t>
      </w:r>
      <w:r>
        <w:rPr>
          <w:rFonts w:hint="eastAsia" w:ascii="Arial" w:hAnsi="Arial" w:cs="宋体"/>
        </w:rPr>
        <w:t>、评分标准</w:t>
      </w:r>
    </w:p>
    <w:p>
      <w:pPr>
        <w:spacing w:line="360" w:lineRule="auto"/>
        <w:rPr>
          <w:rFonts w:ascii="Arial" w:hAnsi="Arial" w:cs="Arial"/>
        </w:rPr>
      </w:pPr>
    </w:p>
    <w:tbl>
      <w:tblPr>
        <w:tblStyle w:val="34"/>
        <w:tblW w:w="9177" w:type="dxa"/>
        <w:jc w:val="center"/>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
        <w:gridCol w:w="1090"/>
        <w:gridCol w:w="263"/>
        <w:gridCol w:w="7011"/>
        <w:gridCol w:w="796"/>
        <w:gridCol w:w="10"/>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0" w:type="dxa"/>
          <w:trHeight w:val="90" w:hRule="atLeast"/>
          <w:jc w:val="center"/>
        </w:trPr>
        <w:tc>
          <w:tcPr>
            <w:tcW w:w="1097" w:type="dxa"/>
            <w:gridSpan w:val="2"/>
            <w:tcBorders>
              <w:top w:val="single" w:color="auto" w:sz="8" w:space="0"/>
            </w:tcBorders>
            <w:vAlign w:val="center"/>
          </w:tcPr>
          <w:p>
            <w:pPr>
              <w:widowControl/>
              <w:jc w:val="center"/>
              <w:rPr>
                <w:rFonts w:ascii="宋体"/>
                <w:b/>
                <w:bCs/>
              </w:rPr>
            </w:pPr>
            <w:r>
              <w:rPr>
                <w:rFonts w:hint="eastAsia" w:ascii="宋体" w:hAnsi="宋体" w:cs="宋体"/>
                <w:b/>
                <w:bCs/>
              </w:rPr>
              <w:t>项目</w:t>
            </w:r>
          </w:p>
        </w:tc>
        <w:tc>
          <w:tcPr>
            <w:tcW w:w="7274" w:type="dxa"/>
            <w:gridSpan w:val="2"/>
            <w:tcBorders>
              <w:top w:val="single" w:color="auto" w:sz="8" w:space="0"/>
            </w:tcBorders>
            <w:vAlign w:val="center"/>
          </w:tcPr>
          <w:p>
            <w:pPr>
              <w:widowControl/>
              <w:jc w:val="center"/>
              <w:rPr>
                <w:rFonts w:ascii="宋体"/>
                <w:b/>
                <w:bCs/>
              </w:rPr>
            </w:pPr>
            <w:r>
              <w:rPr>
                <w:rFonts w:hint="eastAsia" w:ascii="宋体" w:hAnsi="宋体" w:cs="宋体"/>
                <w:b/>
                <w:bCs/>
              </w:rPr>
              <w:t>评分指标</w:t>
            </w:r>
          </w:p>
        </w:tc>
        <w:tc>
          <w:tcPr>
            <w:tcW w:w="796" w:type="dxa"/>
            <w:tcBorders>
              <w:top w:val="single" w:color="auto" w:sz="8" w:space="0"/>
            </w:tcBorders>
            <w:vAlign w:val="center"/>
          </w:tcPr>
          <w:p>
            <w:pPr>
              <w:widowControl/>
              <w:jc w:val="center"/>
              <w:rPr>
                <w:rFonts w:ascii="宋体"/>
                <w:b/>
                <w:bCs/>
              </w:rPr>
            </w:pPr>
            <w:r>
              <w:rPr>
                <w:rFonts w:hint="eastAsia" w:ascii="宋体" w:hAnsi="宋体" w:cs="宋体"/>
                <w:b/>
                <w:bCs/>
              </w:rPr>
              <w:t>分值</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0" w:type="dxa"/>
          <w:trHeight w:val="399" w:hRule="atLeast"/>
          <w:jc w:val="center"/>
        </w:trPr>
        <w:tc>
          <w:tcPr>
            <w:tcW w:w="9167" w:type="dxa"/>
            <w:gridSpan w:val="5"/>
            <w:vAlign w:val="center"/>
          </w:tcPr>
          <w:p>
            <w:pPr>
              <w:widowControl/>
              <w:rPr>
                <w:rFonts w:ascii="宋体"/>
                <w:b/>
                <w:bCs/>
                <w:sz w:val="25"/>
                <w:szCs w:val="25"/>
              </w:rPr>
            </w:pPr>
            <w:r>
              <w:rPr>
                <w:rFonts w:hint="eastAsia" w:ascii="宋体" w:hAnsi="宋体" w:cs="宋体"/>
                <w:b/>
                <w:bCs/>
                <w:sz w:val="25"/>
                <w:szCs w:val="25"/>
              </w:rPr>
              <w:t>一、价格部分（55分）</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0" w:type="dxa"/>
          <w:trHeight w:val="439" w:hRule="atLeast"/>
          <w:jc w:val="center"/>
        </w:trPr>
        <w:tc>
          <w:tcPr>
            <w:tcW w:w="8371" w:type="dxa"/>
            <w:gridSpan w:val="4"/>
          </w:tcPr>
          <w:p>
            <w:pPr>
              <w:widowControl/>
              <w:rPr>
                <w:rFonts w:ascii="宋体"/>
                <w:color w:val="FF0000"/>
              </w:rPr>
            </w:pPr>
            <w:r>
              <w:rPr>
                <w:rFonts w:hint="eastAsia" w:ascii="宋体" w:hAnsi="宋体" w:cs="宋体"/>
              </w:rPr>
              <w:t>在价格评分时，以所有满足招标文件要求的投标报价算术平均值为评标基准价，其价格分为满分55分；其他投标人的价格分统一按照以下公式计算：</w:t>
            </w:r>
            <w:r>
              <w:rPr>
                <w:rFonts w:ascii="宋体"/>
              </w:rPr>
              <w:br w:type="textWrapping"/>
            </w:r>
            <w:r>
              <w:rPr>
                <w:rFonts w:hint="eastAsia" w:ascii="宋体" w:hAnsi="宋体" w:cs="宋体"/>
                <w:color w:val="000000"/>
              </w:rPr>
              <w:t>投标报价高于评标基准价时，投标报价得分</w:t>
            </w:r>
            <w:r>
              <w:rPr>
                <w:rFonts w:ascii="宋体" w:hAnsi="宋体" w:cs="宋体"/>
                <w:color w:val="000000"/>
              </w:rPr>
              <w:t>=</w:t>
            </w:r>
            <w:r>
              <w:rPr>
                <w:rFonts w:hint="eastAsia" w:ascii="宋体" w:hAnsi="宋体" w:cs="宋体"/>
                <w:color w:val="000000"/>
              </w:rPr>
              <w:t>（评标基准价</w:t>
            </w:r>
            <w:r>
              <w:rPr>
                <w:rFonts w:ascii="宋体" w:hAnsi="宋体" w:cs="宋体"/>
                <w:color w:val="000000"/>
              </w:rPr>
              <w:t>/</w:t>
            </w:r>
            <w:r>
              <w:rPr>
                <w:rFonts w:hint="eastAsia" w:ascii="宋体" w:hAnsi="宋体" w:cs="宋体"/>
                <w:color w:val="000000"/>
              </w:rPr>
              <w:t>投标报价）</w:t>
            </w:r>
            <w:r>
              <w:rPr>
                <w:rFonts w:hint="eastAsia" w:ascii="宋体" w:cs="宋体"/>
                <w:color w:val="000000"/>
              </w:rPr>
              <w:t>×</w:t>
            </w:r>
            <w:r>
              <w:rPr>
                <w:rFonts w:ascii="宋体" w:hAnsi="宋体" w:cs="宋体"/>
                <w:color w:val="000000"/>
              </w:rPr>
              <w:t>100</w:t>
            </w:r>
            <w:r>
              <w:rPr>
                <w:rFonts w:hint="eastAsia" w:ascii="宋体" w:hAnsi="宋体" w:cs="宋体"/>
                <w:color w:val="000000"/>
              </w:rPr>
              <w:t>×</w:t>
            </w:r>
            <w:r>
              <w:rPr>
                <w:rFonts w:ascii="宋体" w:hAnsi="宋体" w:cs="宋体"/>
                <w:color w:val="000000"/>
              </w:rPr>
              <w:t>0.</w:t>
            </w:r>
            <w:r>
              <w:rPr>
                <w:rFonts w:hint="eastAsia" w:ascii="宋体" w:hAnsi="宋体" w:cs="宋体"/>
                <w:color w:val="000000"/>
              </w:rPr>
              <w:t>55。</w:t>
            </w:r>
            <w:r>
              <w:rPr>
                <w:rFonts w:ascii="宋体"/>
                <w:color w:val="000000"/>
              </w:rPr>
              <w:br w:type="textWrapping"/>
            </w:r>
            <w:r>
              <w:rPr>
                <w:rFonts w:hint="eastAsia" w:ascii="宋体" w:hAnsi="宋体" w:cs="宋体"/>
                <w:color w:val="000000"/>
              </w:rPr>
              <w:t>投标报价低于评标基准价时，投标报价得分</w:t>
            </w:r>
            <w:r>
              <w:rPr>
                <w:rFonts w:ascii="宋体" w:hAnsi="宋体" w:cs="宋体"/>
                <w:color w:val="000000"/>
              </w:rPr>
              <w:t>=</w:t>
            </w:r>
            <w:r>
              <w:rPr>
                <w:rFonts w:hint="eastAsia" w:ascii="宋体" w:hAnsi="宋体" w:cs="宋体"/>
                <w:color w:val="000000"/>
              </w:rPr>
              <w:t>（投标报价</w:t>
            </w:r>
            <w:r>
              <w:rPr>
                <w:rFonts w:ascii="宋体" w:hAnsi="宋体" w:cs="宋体"/>
                <w:color w:val="000000"/>
              </w:rPr>
              <w:t>/</w:t>
            </w:r>
            <w:r>
              <w:rPr>
                <w:rFonts w:hint="eastAsia" w:ascii="宋体" w:hAnsi="宋体" w:cs="宋体"/>
                <w:color w:val="000000"/>
              </w:rPr>
              <w:t>评标基准价）</w:t>
            </w:r>
            <w:r>
              <w:rPr>
                <w:rFonts w:hint="eastAsia" w:ascii="宋体" w:cs="宋体"/>
                <w:color w:val="000000"/>
              </w:rPr>
              <w:t>×</w:t>
            </w:r>
            <w:r>
              <w:rPr>
                <w:rFonts w:ascii="宋体" w:hAnsi="宋体" w:cs="宋体"/>
                <w:color w:val="000000"/>
              </w:rPr>
              <w:t>100</w:t>
            </w:r>
            <w:r>
              <w:rPr>
                <w:rFonts w:hint="eastAsia" w:ascii="宋体" w:hAnsi="宋体" w:cs="宋体"/>
                <w:color w:val="000000"/>
              </w:rPr>
              <w:t>×</w:t>
            </w:r>
            <w:r>
              <w:rPr>
                <w:rFonts w:ascii="宋体" w:hAnsi="宋体" w:cs="宋体"/>
                <w:color w:val="000000"/>
              </w:rPr>
              <w:t>0.</w:t>
            </w:r>
            <w:r>
              <w:rPr>
                <w:rFonts w:hint="eastAsia" w:ascii="宋体" w:hAnsi="宋体" w:cs="宋体"/>
                <w:color w:val="000000"/>
              </w:rPr>
              <w:t>55。</w:t>
            </w:r>
          </w:p>
          <w:p>
            <w:pPr>
              <w:widowControl/>
              <w:rPr>
                <w:rFonts w:ascii="宋体"/>
              </w:rPr>
            </w:pPr>
            <w:r>
              <w:rPr>
                <w:rFonts w:hint="eastAsia" w:ascii="宋体" w:hAnsi="宋体" w:cs="宋体"/>
              </w:rPr>
              <w:t>说明：凡有下列情况之一者，其投标书为无效标书，不参与评标。</w:t>
            </w:r>
            <w:r>
              <w:rPr>
                <w:rFonts w:ascii="宋体"/>
              </w:rPr>
              <w:br w:type="textWrapping"/>
            </w:r>
            <w:r>
              <w:rPr>
                <w:rFonts w:hint="eastAsia" w:ascii="宋体" w:hAnsi="宋体" w:cs="宋体"/>
              </w:rPr>
              <w:t>①投标包总价的大写与小写不相符且不按大写数额确认者；</w:t>
            </w:r>
            <w:r>
              <w:rPr>
                <w:rFonts w:ascii="宋体"/>
              </w:rPr>
              <w:br w:type="textWrapping"/>
            </w:r>
            <w:r>
              <w:rPr>
                <w:rFonts w:hint="eastAsia" w:ascii="宋体" w:hAnsi="宋体" w:cs="宋体"/>
              </w:rPr>
              <w:t>②投标总报价与投标单价合计不相符且不按单价合计数额确认总价者；</w:t>
            </w:r>
            <w:r>
              <w:rPr>
                <w:rFonts w:ascii="宋体"/>
              </w:rPr>
              <w:br w:type="textWrapping"/>
            </w:r>
            <w:r>
              <w:rPr>
                <w:rFonts w:hint="eastAsia" w:ascii="宋体" w:hAnsi="宋体" w:cs="宋体"/>
              </w:rPr>
              <w:t>③投标文件投标报价部分凡有一项投标价被涂改但未经法人或授权代表签章确认者；</w:t>
            </w:r>
            <w:r>
              <w:rPr>
                <w:rFonts w:ascii="宋体"/>
              </w:rPr>
              <w:br w:type="textWrapping"/>
            </w:r>
            <w:r>
              <w:rPr>
                <w:rFonts w:hint="eastAsia" w:ascii="宋体" w:hAnsi="宋体" w:cs="宋体"/>
              </w:rPr>
              <w:t>④投标报价低于或等于财政预算价格的为有效投标报价，超财政预算的为无效投标报价；</w:t>
            </w:r>
          </w:p>
        </w:tc>
        <w:tc>
          <w:tcPr>
            <w:tcW w:w="796" w:type="dxa"/>
            <w:vAlign w:val="center"/>
          </w:tcPr>
          <w:p>
            <w:pPr>
              <w:widowControl/>
              <w:jc w:val="center"/>
              <w:rPr>
                <w:rFonts w:ascii="宋体"/>
              </w:rPr>
            </w:pPr>
            <w:r>
              <w:rPr>
                <w:rFonts w:hint="eastAsia" w:ascii="宋体" w:hAnsi="宋体" w:cs="宋体"/>
              </w:rPr>
              <w:t>55分</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0" w:type="dxa"/>
          <w:trHeight w:val="536" w:hRule="atLeast"/>
          <w:jc w:val="center"/>
        </w:trPr>
        <w:tc>
          <w:tcPr>
            <w:tcW w:w="9167" w:type="dxa"/>
            <w:gridSpan w:val="5"/>
            <w:vAlign w:val="center"/>
          </w:tcPr>
          <w:p>
            <w:pPr>
              <w:widowControl/>
              <w:rPr>
                <w:rFonts w:ascii="宋体"/>
                <w:b/>
                <w:bCs/>
                <w:sz w:val="25"/>
                <w:szCs w:val="25"/>
              </w:rPr>
            </w:pPr>
            <w:r>
              <w:rPr>
                <w:rFonts w:hint="eastAsia" w:ascii="宋体" w:hAnsi="宋体" w:cs="宋体"/>
                <w:b/>
                <w:bCs/>
                <w:sz w:val="25"/>
                <w:szCs w:val="25"/>
              </w:rPr>
              <w:t>二、商务部分（25分）</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0" w:type="dxa"/>
          <w:trHeight w:val="439" w:hRule="atLeast"/>
          <w:jc w:val="center"/>
        </w:trPr>
        <w:tc>
          <w:tcPr>
            <w:tcW w:w="8371" w:type="dxa"/>
            <w:gridSpan w:val="4"/>
            <w:vAlign w:val="center"/>
          </w:tcPr>
          <w:p>
            <w:pPr>
              <w:widowControl/>
              <w:autoSpaceDE w:val="0"/>
              <w:autoSpaceDN w:val="0"/>
              <w:rPr>
                <w:rFonts w:ascii="宋体"/>
              </w:rPr>
            </w:pPr>
            <w:r>
              <w:rPr>
                <w:rFonts w:hint="eastAsia" w:ascii="宋体" w:hAnsi="宋体" w:cs="宋体"/>
              </w:rPr>
              <w:t>投标人具有涉密资质（含运行维护），得4分，没有不得分，原件备查。</w:t>
            </w:r>
          </w:p>
        </w:tc>
        <w:tc>
          <w:tcPr>
            <w:tcW w:w="796" w:type="dxa"/>
            <w:vAlign w:val="center"/>
          </w:tcPr>
          <w:p>
            <w:pPr>
              <w:widowControl/>
              <w:jc w:val="center"/>
              <w:rPr>
                <w:rFonts w:ascii="宋体"/>
              </w:rPr>
            </w:pPr>
            <w:r>
              <w:rPr>
                <w:rFonts w:hint="eastAsia" w:ascii="宋体" w:hAnsi="宋体" w:cs="宋体"/>
              </w:rPr>
              <w:t>4分</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0" w:type="dxa"/>
          <w:trHeight w:val="579" w:hRule="atLeast"/>
          <w:jc w:val="center"/>
        </w:trPr>
        <w:tc>
          <w:tcPr>
            <w:tcW w:w="8371" w:type="dxa"/>
            <w:gridSpan w:val="4"/>
            <w:tcBorders>
              <w:right w:val="single" w:color="auto" w:sz="4" w:space="0"/>
            </w:tcBorders>
            <w:vAlign w:val="center"/>
          </w:tcPr>
          <w:p>
            <w:pPr>
              <w:widowControl/>
              <w:rPr>
                <w:rFonts w:ascii="宋体"/>
              </w:rPr>
            </w:pPr>
            <w:r>
              <w:rPr>
                <w:rFonts w:hint="eastAsia" w:ascii="宋体" w:hAnsi="宋体" w:cs="宋体"/>
              </w:rPr>
              <w:t>投标人具有信息系统集成及服务资质，壹级得4分，贰级得</w:t>
            </w:r>
            <w:r>
              <w:rPr>
                <w:rFonts w:ascii="宋体" w:hAnsi="宋体" w:cs="宋体"/>
              </w:rPr>
              <w:t>2</w:t>
            </w:r>
            <w:r>
              <w:rPr>
                <w:rFonts w:hint="eastAsia" w:ascii="宋体" w:hAnsi="宋体" w:cs="宋体"/>
              </w:rPr>
              <w:t>分，叁级及以下得</w:t>
            </w:r>
            <w:r>
              <w:rPr>
                <w:rFonts w:ascii="宋体" w:hAnsi="宋体" w:cs="宋体"/>
              </w:rPr>
              <w:t>1</w:t>
            </w:r>
            <w:r>
              <w:rPr>
                <w:rFonts w:hint="eastAsia" w:ascii="宋体" w:hAnsi="宋体" w:cs="宋体"/>
              </w:rPr>
              <w:t>分，没有不得分。</w:t>
            </w:r>
          </w:p>
        </w:tc>
        <w:tc>
          <w:tcPr>
            <w:tcW w:w="796" w:type="dxa"/>
            <w:tcBorders>
              <w:left w:val="single" w:color="auto" w:sz="4" w:space="0"/>
            </w:tcBorders>
            <w:vAlign w:val="center"/>
          </w:tcPr>
          <w:p>
            <w:pPr>
              <w:widowControl/>
              <w:jc w:val="center"/>
              <w:rPr>
                <w:rFonts w:ascii="宋体"/>
              </w:rPr>
            </w:pPr>
            <w:r>
              <w:rPr>
                <w:rFonts w:hint="eastAsia" w:ascii="宋体" w:hAnsi="宋体" w:cs="宋体"/>
              </w:rPr>
              <w:t>4分</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0" w:type="dxa"/>
          <w:trHeight w:val="300" w:hRule="atLeast"/>
          <w:jc w:val="center"/>
        </w:trPr>
        <w:tc>
          <w:tcPr>
            <w:tcW w:w="8371" w:type="dxa"/>
            <w:gridSpan w:val="4"/>
            <w:tcBorders>
              <w:right w:val="single" w:color="auto" w:sz="4" w:space="0"/>
            </w:tcBorders>
            <w:vAlign w:val="center"/>
          </w:tcPr>
          <w:p>
            <w:pPr>
              <w:widowControl/>
              <w:rPr>
                <w:rFonts w:ascii="宋体"/>
              </w:rPr>
            </w:pPr>
            <w:r>
              <w:rPr>
                <w:rFonts w:hint="eastAsia" w:ascii="宋体" w:hAnsi="宋体" w:cs="宋体"/>
              </w:rPr>
              <w:t>投标人具有</w:t>
            </w:r>
            <w:r>
              <w:rPr>
                <w:rFonts w:ascii="宋体" w:hAnsi="宋体" w:cs="宋体"/>
              </w:rPr>
              <w:t>ISO20000</w:t>
            </w:r>
            <w:r>
              <w:rPr>
                <w:rFonts w:hint="eastAsia" w:ascii="宋体" w:hAnsi="宋体" w:cs="宋体"/>
              </w:rPr>
              <w:t>信息技术服务管理体系认证，得2分，没有不得分，原件备查。</w:t>
            </w:r>
          </w:p>
        </w:tc>
        <w:tc>
          <w:tcPr>
            <w:tcW w:w="796" w:type="dxa"/>
            <w:tcBorders>
              <w:left w:val="single" w:color="auto" w:sz="4" w:space="0"/>
            </w:tcBorders>
            <w:vAlign w:val="center"/>
          </w:tcPr>
          <w:p>
            <w:pPr>
              <w:widowControl/>
              <w:jc w:val="center"/>
              <w:rPr>
                <w:rFonts w:ascii="宋体"/>
              </w:rPr>
            </w:pPr>
            <w:r>
              <w:rPr>
                <w:rFonts w:hint="eastAsia" w:ascii="宋体" w:hAnsi="宋体" w:cs="宋体"/>
              </w:rPr>
              <w:t>2分</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0" w:type="dxa"/>
          <w:trHeight w:val="300" w:hRule="atLeast"/>
          <w:jc w:val="center"/>
        </w:trPr>
        <w:tc>
          <w:tcPr>
            <w:tcW w:w="8371" w:type="dxa"/>
            <w:gridSpan w:val="4"/>
            <w:tcBorders>
              <w:right w:val="single" w:color="auto" w:sz="4" w:space="0"/>
            </w:tcBorders>
            <w:vAlign w:val="center"/>
          </w:tcPr>
          <w:p>
            <w:pPr>
              <w:widowControl/>
              <w:rPr>
                <w:rFonts w:ascii="宋体"/>
              </w:rPr>
            </w:pPr>
            <w:r>
              <w:rPr>
                <w:rFonts w:hint="eastAsia" w:ascii="宋体" w:hAnsi="宋体" w:cs="宋体"/>
              </w:rPr>
              <w:t>投标人具有</w:t>
            </w:r>
            <w:r>
              <w:rPr>
                <w:rFonts w:ascii="宋体" w:hAnsi="宋体" w:cs="宋体"/>
              </w:rPr>
              <w:t>ISO27001</w:t>
            </w:r>
            <w:r>
              <w:rPr>
                <w:rFonts w:hint="eastAsia" w:ascii="宋体" w:hAnsi="宋体" w:cs="宋体"/>
              </w:rPr>
              <w:t>信息安全管理体系认证，得2分，没有不得分，原件备查。</w:t>
            </w:r>
          </w:p>
        </w:tc>
        <w:tc>
          <w:tcPr>
            <w:tcW w:w="796" w:type="dxa"/>
            <w:tcBorders>
              <w:left w:val="single" w:color="auto" w:sz="4" w:space="0"/>
            </w:tcBorders>
            <w:vAlign w:val="center"/>
          </w:tcPr>
          <w:p>
            <w:pPr>
              <w:widowControl/>
              <w:jc w:val="center"/>
              <w:rPr>
                <w:rFonts w:ascii="宋体"/>
              </w:rPr>
            </w:pPr>
            <w:r>
              <w:rPr>
                <w:rFonts w:hint="eastAsia" w:ascii="宋体" w:hAnsi="宋体" w:cs="宋体"/>
              </w:rPr>
              <w:t>2分</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0" w:type="dxa"/>
          <w:trHeight w:val="300" w:hRule="atLeast"/>
          <w:jc w:val="center"/>
        </w:trPr>
        <w:tc>
          <w:tcPr>
            <w:tcW w:w="8371" w:type="dxa"/>
            <w:gridSpan w:val="4"/>
            <w:tcBorders>
              <w:right w:val="single" w:color="auto" w:sz="4" w:space="0"/>
            </w:tcBorders>
            <w:vAlign w:val="center"/>
          </w:tcPr>
          <w:p>
            <w:pPr>
              <w:widowControl/>
              <w:rPr>
                <w:rFonts w:ascii="宋体"/>
              </w:rPr>
            </w:pPr>
            <w:r>
              <w:rPr>
                <w:rFonts w:hint="eastAsia" w:ascii="宋体" w:hAnsi="宋体" w:cs="宋体"/>
              </w:rPr>
              <w:t>投标人具有</w:t>
            </w:r>
            <w:r>
              <w:rPr>
                <w:rFonts w:ascii="宋体" w:hAnsi="宋体" w:cs="宋体"/>
              </w:rPr>
              <w:t>ISO9001</w:t>
            </w:r>
            <w:r>
              <w:rPr>
                <w:rFonts w:hint="eastAsia" w:ascii="宋体" w:hAnsi="宋体" w:cs="宋体"/>
              </w:rPr>
              <w:t>质量管理体系、</w:t>
            </w:r>
            <w:r>
              <w:rPr>
                <w:rFonts w:ascii="宋体" w:hAnsi="宋体" w:cs="宋体"/>
              </w:rPr>
              <w:t>ISO14001</w:t>
            </w:r>
            <w:r>
              <w:rPr>
                <w:rFonts w:hint="eastAsia" w:ascii="宋体" w:hAnsi="宋体" w:cs="宋体"/>
              </w:rPr>
              <w:t>环境管理体系、</w:t>
            </w:r>
            <w:r>
              <w:rPr>
                <w:rFonts w:ascii="宋体" w:hAnsi="宋体" w:cs="宋体"/>
              </w:rPr>
              <w:t>ISO18001</w:t>
            </w:r>
            <w:r>
              <w:rPr>
                <w:rFonts w:hint="eastAsia" w:ascii="宋体" w:hAnsi="宋体" w:cs="宋体"/>
              </w:rPr>
              <w:t>职业健康安全管理体系认证三项证书，每项得</w:t>
            </w:r>
            <w:r>
              <w:rPr>
                <w:rFonts w:ascii="宋体" w:hAnsi="宋体" w:cs="宋体"/>
              </w:rPr>
              <w:t xml:space="preserve"> 2 </w:t>
            </w:r>
            <w:r>
              <w:rPr>
                <w:rFonts w:hint="eastAsia" w:ascii="宋体" w:hAnsi="宋体" w:cs="宋体"/>
              </w:rPr>
              <w:t>分，最高得</w:t>
            </w:r>
            <w:r>
              <w:rPr>
                <w:rFonts w:ascii="宋体" w:hAnsi="宋体" w:cs="宋体"/>
              </w:rPr>
              <w:t xml:space="preserve"> 6 </w:t>
            </w:r>
            <w:r>
              <w:rPr>
                <w:rFonts w:hint="eastAsia" w:ascii="宋体" w:hAnsi="宋体" w:cs="宋体"/>
              </w:rPr>
              <w:t>分。原件备查。</w:t>
            </w:r>
          </w:p>
        </w:tc>
        <w:tc>
          <w:tcPr>
            <w:tcW w:w="796" w:type="dxa"/>
            <w:tcBorders>
              <w:left w:val="single" w:color="auto" w:sz="4" w:space="0"/>
            </w:tcBorders>
            <w:vAlign w:val="center"/>
          </w:tcPr>
          <w:p>
            <w:pPr>
              <w:widowControl/>
              <w:jc w:val="center"/>
              <w:rPr>
                <w:rFonts w:ascii="宋体"/>
              </w:rPr>
            </w:pPr>
            <w:r>
              <w:rPr>
                <w:rFonts w:ascii="宋体" w:hAnsi="宋体" w:cs="宋体"/>
              </w:rPr>
              <w:t>6</w:t>
            </w:r>
            <w:r>
              <w:rPr>
                <w:rFonts w:hint="eastAsia" w:ascii="宋体" w:hAnsi="宋体" w:cs="宋体"/>
              </w:rPr>
              <w:t>分</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0" w:type="dxa"/>
          <w:trHeight w:val="300" w:hRule="atLeast"/>
          <w:jc w:val="center"/>
        </w:trPr>
        <w:tc>
          <w:tcPr>
            <w:tcW w:w="8371" w:type="dxa"/>
            <w:gridSpan w:val="4"/>
            <w:tcBorders>
              <w:right w:val="single" w:color="auto" w:sz="4" w:space="0"/>
            </w:tcBorders>
            <w:vAlign w:val="center"/>
          </w:tcPr>
          <w:p>
            <w:pPr>
              <w:widowControl/>
              <w:rPr>
                <w:rFonts w:ascii="宋体"/>
                <w:b/>
                <w:bCs/>
                <w:sz w:val="25"/>
                <w:szCs w:val="25"/>
              </w:rPr>
            </w:pPr>
            <w:r>
              <w:rPr>
                <w:rFonts w:hint="eastAsia" w:ascii="宋体" w:hAnsi="宋体" w:cs="宋体"/>
              </w:rPr>
              <w:t>投标人具有</w:t>
            </w:r>
            <w:r>
              <w:rPr>
                <w:rFonts w:ascii="宋体" w:hAnsi="宋体" w:cs="宋体"/>
              </w:rPr>
              <w:t>ITSS</w:t>
            </w:r>
            <w:r>
              <w:rPr>
                <w:rFonts w:hint="eastAsia" w:ascii="宋体" w:hAnsi="宋体" w:cs="宋体"/>
              </w:rPr>
              <w:t>信息技术服务运行维护证书得4分，没有不得分。</w:t>
            </w:r>
          </w:p>
        </w:tc>
        <w:tc>
          <w:tcPr>
            <w:tcW w:w="796" w:type="dxa"/>
            <w:tcBorders>
              <w:left w:val="single" w:color="auto" w:sz="4" w:space="0"/>
            </w:tcBorders>
            <w:vAlign w:val="center"/>
          </w:tcPr>
          <w:p>
            <w:pPr>
              <w:widowControl/>
              <w:jc w:val="center"/>
              <w:rPr>
                <w:rFonts w:ascii="宋体"/>
                <w:b/>
                <w:bCs/>
                <w:sz w:val="25"/>
                <w:szCs w:val="25"/>
              </w:rPr>
            </w:pPr>
            <w:r>
              <w:rPr>
                <w:rFonts w:hint="eastAsia" w:ascii="宋体" w:hAnsi="宋体" w:cs="宋体"/>
              </w:rPr>
              <w:t>4分</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0" w:type="dxa"/>
          <w:trHeight w:val="300" w:hRule="atLeast"/>
          <w:jc w:val="center"/>
        </w:trPr>
        <w:tc>
          <w:tcPr>
            <w:tcW w:w="8371" w:type="dxa"/>
            <w:gridSpan w:val="4"/>
            <w:tcBorders>
              <w:right w:val="single" w:color="auto" w:sz="4" w:space="0"/>
            </w:tcBorders>
            <w:vAlign w:val="center"/>
          </w:tcPr>
          <w:p>
            <w:pPr>
              <w:widowControl/>
              <w:rPr>
                <w:rFonts w:ascii="宋体"/>
                <w:b/>
                <w:bCs/>
                <w:sz w:val="25"/>
                <w:szCs w:val="25"/>
              </w:rPr>
            </w:pPr>
            <w:r>
              <w:rPr>
                <w:rFonts w:hint="eastAsia" w:ascii="宋体" w:hAnsi="宋体" w:cs="宋体"/>
              </w:rPr>
              <w:t>投标人具备投标前近</w:t>
            </w:r>
            <w:r>
              <w:rPr>
                <w:rFonts w:ascii="宋体" w:hAnsi="宋体" w:cs="宋体"/>
              </w:rPr>
              <w:t>3</w:t>
            </w:r>
            <w:r>
              <w:rPr>
                <w:rFonts w:hint="eastAsia" w:ascii="宋体" w:hAnsi="宋体" w:cs="宋体"/>
              </w:rPr>
              <w:t>年类似项目业绩，一项得</w:t>
            </w:r>
            <w:r>
              <w:rPr>
                <w:rFonts w:ascii="宋体" w:hAnsi="宋体" w:cs="宋体"/>
              </w:rPr>
              <w:t>1</w:t>
            </w:r>
            <w:r>
              <w:rPr>
                <w:rFonts w:hint="eastAsia" w:ascii="宋体" w:hAnsi="宋体" w:cs="宋体"/>
              </w:rPr>
              <w:t>分，最高得</w:t>
            </w:r>
            <w:r>
              <w:rPr>
                <w:rFonts w:ascii="宋体" w:hAnsi="宋体" w:cs="宋体"/>
              </w:rPr>
              <w:t>3</w:t>
            </w:r>
            <w:r>
              <w:rPr>
                <w:rFonts w:hint="eastAsia" w:ascii="宋体" w:hAnsi="宋体" w:cs="宋体"/>
              </w:rPr>
              <w:t>分（须提供合同复印件首页及签字页）</w:t>
            </w:r>
          </w:p>
        </w:tc>
        <w:tc>
          <w:tcPr>
            <w:tcW w:w="796" w:type="dxa"/>
            <w:tcBorders>
              <w:left w:val="single" w:color="auto" w:sz="4" w:space="0"/>
            </w:tcBorders>
            <w:vAlign w:val="center"/>
          </w:tcPr>
          <w:p>
            <w:pPr>
              <w:widowControl/>
              <w:jc w:val="center"/>
              <w:rPr>
                <w:rFonts w:ascii="宋体"/>
                <w:b/>
                <w:bCs/>
                <w:sz w:val="25"/>
                <w:szCs w:val="25"/>
              </w:rPr>
            </w:pPr>
            <w:r>
              <w:rPr>
                <w:rFonts w:ascii="宋体" w:hAnsi="宋体" w:cs="宋体"/>
              </w:rPr>
              <w:t>3</w:t>
            </w:r>
            <w:r>
              <w:rPr>
                <w:rFonts w:hint="eastAsia" w:ascii="宋体" w:hAnsi="宋体" w:cs="宋体"/>
              </w:rPr>
              <w:t>分</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0" w:type="dxa"/>
          <w:trHeight w:val="300" w:hRule="atLeast"/>
          <w:jc w:val="center"/>
        </w:trPr>
        <w:tc>
          <w:tcPr>
            <w:tcW w:w="9167" w:type="dxa"/>
            <w:gridSpan w:val="5"/>
            <w:vAlign w:val="center"/>
          </w:tcPr>
          <w:p>
            <w:pPr>
              <w:widowControl/>
              <w:rPr>
                <w:rFonts w:ascii="宋体"/>
                <w:sz w:val="25"/>
                <w:szCs w:val="25"/>
              </w:rPr>
            </w:pPr>
            <w:r>
              <w:rPr>
                <w:rFonts w:hint="eastAsia" w:ascii="宋体" w:hAnsi="宋体" w:cs="宋体"/>
                <w:b/>
                <w:bCs/>
                <w:sz w:val="25"/>
                <w:szCs w:val="25"/>
              </w:rPr>
              <w:t>三、技术部分（20分）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7" w:type="dxa"/>
          <w:trHeight w:val="420" w:hRule="atLeast"/>
          <w:jc w:val="center"/>
        </w:trPr>
        <w:tc>
          <w:tcPr>
            <w:tcW w:w="1353" w:type="dxa"/>
            <w:gridSpan w:val="2"/>
            <w:vAlign w:val="center"/>
          </w:tcPr>
          <w:p>
            <w:pPr>
              <w:widowControl/>
              <w:snapToGrid w:val="0"/>
              <w:spacing w:line="276" w:lineRule="auto"/>
              <w:jc w:val="center"/>
              <w:rPr>
                <w:rFonts w:ascii="Arial" w:hAnsi="Arial" w:cs="Arial"/>
              </w:rPr>
            </w:pPr>
            <w:r>
              <w:rPr>
                <w:rFonts w:hint="eastAsia" w:ascii="Arial" w:hAnsi="Arial" w:cs="宋体"/>
              </w:rPr>
              <w:t>项目成员资质</w:t>
            </w:r>
          </w:p>
        </w:tc>
        <w:tc>
          <w:tcPr>
            <w:tcW w:w="7011" w:type="dxa"/>
            <w:vAlign w:val="center"/>
          </w:tcPr>
          <w:p>
            <w:pPr>
              <w:widowControl/>
              <w:snapToGrid w:val="0"/>
              <w:spacing w:line="276" w:lineRule="auto"/>
              <w:rPr>
                <w:rFonts w:ascii="Arial" w:hAnsi="Arial" w:cs="Arial"/>
              </w:rPr>
            </w:pPr>
            <w:r>
              <w:rPr>
                <w:rFonts w:hint="eastAsia" w:ascii="Arial" w:hAnsi="Arial" w:cs="宋体"/>
              </w:rPr>
              <w:t>具有国家认证的高级项目经理得</w:t>
            </w:r>
            <w:r>
              <w:rPr>
                <w:rFonts w:hint="eastAsia" w:ascii="Arial" w:hAnsi="Arial" w:cs="Arial"/>
              </w:rPr>
              <w:t>5</w:t>
            </w:r>
            <w:r>
              <w:rPr>
                <w:rFonts w:hint="eastAsia" w:ascii="Arial" w:hAnsi="Arial" w:cs="宋体"/>
              </w:rPr>
              <w:t>分，中级项目经理职称得</w:t>
            </w:r>
            <w:r>
              <w:rPr>
                <w:rFonts w:hint="eastAsia" w:ascii="Arial" w:hAnsi="Arial" w:cs="Arial"/>
              </w:rPr>
              <w:t>3</w:t>
            </w:r>
            <w:r>
              <w:rPr>
                <w:rFonts w:hint="eastAsia" w:ascii="Arial" w:hAnsi="Arial" w:cs="宋体"/>
              </w:rPr>
              <w:t>分，初级项目经理2分，最高</w:t>
            </w:r>
            <w:r>
              <w:rPr>
                <w:rFonts w:hint="eastAsia" w:ascii="Arial" w:hAnsi="Arial" w:cs="Arial"/>
              </w:rPr>
              <w:t>5</w:t>
            </w:r>
            <w:r>
              <w:rPr>
                <w:rFonts w:hint="eastAsia" w:ascii="Arial" w:hAnsi="Arial" w:cs="宋体"/>
              </w:rPr>
              <w:t>分</w:t>
            </w:r>
          </w:p>
        </w:tc>
        <w:tc>
          <w:tcPr>
            <w:tcW w:w="806" w:type="dxa"/>
            <w:gridSpan w:val="2"/>
            <w:vAlign w:val="center"/>
          </w:tcPr>
          <w:p>
            <w:pPr>
              <w:widowControl/>
              <w:snapToGrid w:val="0"/>
              <w:spacing w:line="276" w:lineRule="auto"/>
              <w:jc w:val="center"/>
              <w:rPr>
                <w:rFonts w:ascii="Arial" w:hAnsi="Arial" w:cs="Arial"/>
              </w:rPr>
            </w:pPr>
            <w:r>
              <w:rPr>
                <w:rFonts w:hint="eastAsia" w:ascii="Arial" w:hAnsi="Arial" w:cs="Aria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7" w:type="dxa"/>
          <w:trHeight w:val="420" w:hRule="atLeast"/>
          <w:jc w:val="center"/>
        </w:trPr>
        <w:tc>
          <w:tcPr>
            <w:tcW w:w="1353" w:type="dxa"/>
            <w:gridSpan w:val="2"/>
            <w:vAlign w:val="center"/>
          </w:tcPr>
          <w:p>
            <w:pPr>
              <w:widowControl/>
              <w:snapToGrid w:val="0"/>
              <w:spacing w:line="276" w:lineRule="auto"/>
              <w:jc w:val="center"/>
              <w:rPr>
                <w:rFonts w:ascii="Arial" w:hAnsi="Arial" w:cs="Arial"/>
              </w:rPr>
            </w:pPr>
            <w:r>
              <w:rPr>
                <w:rFonts w:hint="eastAsia" w:ascii="Arial" w:hAnsi="Arial" w:cs="宋体"/>
              </w:rPr>
              <w:t>响应程度</w:t>
            </w:r>
          </w:p>
        </w:tc>
        <w:tc>
          <w:tcPr>
            <w:tcW w:w="7011" w:type="dxa"/>
            <w:vAlign w:val="center"/>
          </w:tcPr>
          <w:p>
            <w:pPr>
              <w:widowControl/>
              <w:snapToGrid w:val="0"/>
              <w:spacing w:line="276" w:lineRule="auto"/>
              <w:rPr>
                <w:rFonts w:ascii="Arial" w:hAnsi="Arial" w:cs="Arial"/>
              </w:rPr>
            </w:pPr>
            <w:r>
              <w:rPr>
                <w:rFonts w:hint="eastAsia" w:ascii="Arial" w:hAnsi="Arial" w:cs="宋体"/>
              </w:rPr>
              <w:t>投标人是否全面响应招标文件的技术条款，是否偏离以及偏离程度等进行综合评定（</w:t>
            </w:r>
            <w:r>
              <w:rPr>
                <w:rFonts w:ascii="Arial" w:hAnsi="Arial" w:cs="Arial"/>
              </w:rPr>
              <w:t>0-</w:t>
            </w:r>
            <w:r>
              <w:rPr>
                <w:rFonts w:hint="eastAsia" w:ascii="Arial" w:hAnsi="Arial" w:cs="Arial"/>
              </w:rPr>
              <w:t>2</w:t>
            </w:r>
            <w:r>
              <w:rPr>
                <w:rFonts w:hint="eastAsia" w:ascii="Arial" w:hAnsi="Arial" w:cs="宋体"/>
              </w:rPr>
              <w:t>分）。</w:t>
            </w:r>
          </w:p>
        </w:tc>
        <w:tc>
          <w:tcPr>
            <w:tcW w:w="806" w:type="dxa"/>
            <w:gridSpan w:val="2"/>
            <w:vAlign w:val="center"/>
          </w:tcPr>
          <w:p>
            <w:pPr>
              <w:widowControl/>
              <w:snapToGrid w:val="0"/>
              <w:spacing w:line="276" w:lineRule="auto"/>
              <w:jc w:val="center"/>
              <w:rPr>
                <w:rFonts w:ascii="Arial" w:hAnsi="Arial" w:cs="Arial"/>
              </w:rPr>
            </w:pPr>
            <w:r>
              <w:rPr>
                <w:rFonts w:hint="eastAsia" w:ascii="Arial" w:hAnsi="Arial" w:cs="Aria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7" w:type="dxa"/>
          <w:cantSplit/>
          <w:trHeight w:val="70" w:hRule="atLeast"/>
          <w:jc w:val="center"/>
        </w:trPr>
        <w:tc>
          <w:tcPr>
            <w:tcW w:w="1353" w:type="dxa"/>
            <w:gridSpan w:val="2"/>
            <w:vMerge w:val="restart"/>
            <w:vAlign w:val="center"/>
          </w:tcPr>
          <w:p>
            <w:pPr>
              <w:widowControl/>
              <w:snapToGrid w:val="0"/>
              <w:spacing w:line="276" w:lineRule="auto"/>
              <w:jc w:val="center"/>
              <w:rPr>
                <w:rFonts w:ascii="Arial" w:hAnsi="Arial" w:cs="Arial"/>
              </w:rPr>
            </w:pPr>
            <w:r>
              <w:rPr>
                <w:rFonts w:hint="eastAsia" w:ascii="Arial" w:hAnsi="Arial" w:cs="宋体"/>
              </w:rPr>
              <w:t>项目实施方案</w:t>
            </w:r>
          </w:p>
        </w:tc>
        <w:tc>
          <w:tcPr>
            <w:tcW w:w="7011" w:type="dxa"/>
            <w:vAlign w:val="center"/>
          </w:tcPr>
          <w:p>
            <w:pPr>
              <w:snapToGrid w:val="0"/>
              <w:spacing w:line="276" w:lineRule="auto"/>
              <w:rPr>
                <w:rFonts w:ascii="Arial" w:hAnsi="Arial" w:cs="Arial"/>
              </w:rPr>
            </w:pPr>
            <w:r>
              <w:rPr>
                <w:rFonts w:hint="eastAsia" w:ascii="Arial" w:hAnsi="Arial" w:cs="宋体"/>
              </w:rPr>
              <w:t>运维管理制度规范，是否符合投标人运维管理的要求（</w:t>
            </w:r>
            <w:r>
              <w:rPr>
                <w:rFonts w:ascii="Arial" w:hAnsi="Arial" w:cs="Arial"/>
              </w:rPr>
              <w:t>0-</w:t>
            </w:r>
            <w:r>
              <w:rPr>
                <w:rFonts w:hint="eastAsia" w:ascii="Arial" w:hAnsi="Arial" w:cs="Arial"/>
              </w:rPr>
              <w:t>2</w:t>
            </w:r>
            <w:r>
              <w:rPr>
                <w:rFonts w:hint="eastAsia" w:ascii="Arial" w:hAnsi="Arial" w:cs="宋体"/>
              </w:rPr>
              <w:t>分）。</w:t>
            </w:r>
          </w:p>
        </w:tc>
        <w:tc>
          <w:tcPr>
            <w:tcW w:w="806" w:type="dxa"/>
            <w:gridSpan w:val="2"/>
            <w:vMerge w:val="restart"/>
            <w:vAlign w:val="center"/>
          </w:tcPr>
          <w:p>
            <w:pPr>
              <w:widowControl/>
              <w:snapToGrid w:val="0"/>
              <w:spacing w:line="276" w:lineRule="auto"/>
              <w:jc w:val="center"/>
              <w:rPr>
                <w:rFonts w:ascii="Arial" w:hAnsi="Arial" w:cs="Arial"/>
              </w:rPr>
            </w:pPr>
            <w:r>
              <w:rPr>
                <w:rFonts w:hint="eastAsia" w:ascii="Arial" w:hAnsi="Arial" w:cs="Aria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7" w:type="dxa"/>
          <w:cantSplit/>
          <w:trHeight w:val="189" w:hRule="atLeast"/>
          <w:jc w:val="center"/>
        </w:trPr>
        <w:tc>
          <w:tcPr>
            <w:tcW w:w="1353" w:type="dxa"/>
            <w:gridSpan w:val="2"/>
            <w:vMerge w:val="continue"/>
            <w:vAlign w:val="center"/>
          </w:tcPr>
          <w:p>
            <w:pPr>
              <w:widowControl/>
              <w:snapToGrid w:val="0"/>
              <w:spacing w:line="276" w:lineRule="auto"/>
              <w:jc w:val="center"/>
              <w:rPr>
                <w:rFonts w:ascii="Arial" w:hAnsi="Arial" w:cs="Arial"/>
              </w:rPr>
            </w:pPr>
          </w:p>
        </w:tc>
        <w:tc>
          <w:tcPr>
            <w:tcW w:w="7011" w:type="dxa"/>
            <w:vAlign w:val="center"/>
          </w:tcPr>
          <w:p>
            <w:pPr>
              <w:snapToGrid w:val="0"/>
              <w:spacing w:before="120" w:line="276" w:lineRule="auto"/>
              <w:rPr>
                <w:rFonts w:ascii="Arial" w:hAnsi="Arial" w:cs="Arial"/>
              </w:rPr>
            </w:pPr>
            <w:r>
              <w:rPr>
                <w:rFonts w:hint="eastAsia" w:ascii="Arial" w:hAnsi="Arial" w:cs="宋体"/>
              </w:rPr>
              <w:t>人员岗位安排，是否符合投标人运维团队建设及管理要求（</w:t>
            </w:r>
            <w:r>
              <w:rPr>
                <w:rFonts w:ascii="Arial" w:hAnsi="Arial" w:cs="Arial"/>
              </w:rPr>
              <w:t>0-</w:t>
            </w:r>
            <w:r>
              <w:rPr>
                <w:rFonts w:hint="eastAsia" w:ascii="Arial" w:hAnsi="Arial" w:cs="Arial"/>
              </w:rPr>
              <w:t>2</w:t>
            </w:r>
            <w:r>
              <w:rPr>
                <w:rFonts w:hint="eastAsia" w:ascii="Arial" w:hAnsi="Arial" w:cs="宋体"/>
              </w:rPr>
              <w:t>分）；</w:t>
            </w:r>
          </w:p>
        </w:tc>
        <w:tc>
          <w:tcPr>
            <w:tcW w:w="806" w:type="dxa"/>
            <w:gridSpan w:val="2"/>
            <w:vMerge w:val="continue"/>
            <w:vAlign w:val="center"/>
          </w:tcPr>
          <w:p>
            <w:pPr>
              <w:widowControl/>
              <w:snapToGrid w:val="0"/>
              <w:spacing w:line="276" w:lineRule="auto"/>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7" w:type="dxa"/>
          <w:cantSplit/>
          <w:trHeight w:val="793" w:hRule="atLeast"/>
          <w:jc w:val="center"/>
        </w:trPr>
        <w:tc>
          <w:tcPr>
            <w:tcW w:w="1353" w:type="dxa"/>
            <w:gridSpan w:val="2"/>
            <w:vMerge w:val="continue"/>
            <w:vAlign w:val="center"/>
          </w:tcPr>
          <w:p>
            <w:pPr>
              <w:widowControl/>
              <w:snapToGrid w:val="0"/>
              <w:spacing w:line="276" w:lineRule="auto"/>
              <w:jc w:val="center"/>
              <w:rPr>
                <w:rFonts w:ascii="Arial" w:hAnsi="Arial" w:cs="Arial"/>
              </w:rPr>
            </w:pPr>
          </w:p>
        </w:tc>
        <w:tc>
          <w:tcPr>
            <w:tcW w:w="7011" w:type="dxa"/>
            <w:vAlign w:val="center"/>
          </w:tcPr>
          <w:p>
            <w:pPr>
              <w:snapToGrid w:val="0"/>
              <w:spacing w:line="276" w:lineRule="auto"/>
              <w:rPr>
                <w:rFonts w:ascii="宋体"/>
              </w:rPr>
            </w:pPr>
            <w:r>
              <w:rPr>
                <w:rFonts w:hint="eastAsia" w:ascii="宋体" w:hAnsi="宋体" w:cs="宋体"/>
              </w:rPr>
              <w:t>有完善的项目服务实施方案，整个项目的组织机构、人员安排有具体方案，分工合理、责任明确，能够在承诺的时间内按质按量完工。（</w:t>
            </w:r>
            <w:r>
              <w:rPr>
                <w:rFonts w:ascii="宋体" w:hAnsi="宋体" w:cs="宋体"/>
              </w:rPr>
              <w:t>0-</w:t>
            </w:r>
            <w:r>
              <w:rPr>
                <w:rFonts w:hint="eastAsia" w:ascii="宋体" w:hAnsi="宋体" w:cs="宋体"/>
              </w:rPr>
              <w:t>2）</w:t>
            </w:r>
          </w:p>
        </w:tc>
        <w:tc>
          <w:tcPr>
            <w:tcW w:w="806" w:type="dxa"/>
            <w:gridSpan w:val="2"/>
            <w:vMerge w:val="continue"/>
            <w:vAlign w:val="center"/>
          </w:tcPr>
          <w:p>
            <w:pPr>
              <w:widowControl/>
              <w:snapToGrid w:val="0"/>
              <w:spacing w:line="276" w:lineRule="auto"/>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7" w:type="dxa"/>
          <w:cantSplit/>
          <w:trHeight w:val="547" w:hRule="atLeast"/>
          <w:jc w:val="center"/>
        </w:trPr>
        <w:tc>
          <w:tcPr>
            <w:tcW w:w="1353" w:type="dxa"/>
            <w:gridSpan w:val="2"/>
            <w:vMerge w:val="continue"/>
            <w:vAlign w:val="center"/>
          </w:tcPr>
          <w:p>
            <w:pPr>
              <w:widowControl/>
              <w:snapToGrid w:val="0"/>
              <w:spacing w:line="276" w:lineRule="auto"/>
              <w:jc w:val="center"/>
              <w:rPr>
                <w:rFonts w:ascii="Arial" w:hAnsi="Arial" w:cs="Arial"/>
              </w:rPr>
            </w:pPr>
          </w:p>
        </w:tc>
        <w:tc>
          <w:tcPr>
            <w:tcW w:w="7011" w:type="dxa"/>
            <w:vAlign w:val="center"/>
          </w:tcPr>
          <w:p>
            <w:pPr>
              <w:snapToGrid w:val="0"/>
              <w:spacing w:line="276" w:lineRule="auto"/>
              <w:rPr>
                <w:rFonts w:ascii="宋体"/>
              </w:rPr>
            </w:pPr>
            <w:r>
              <w:rPr>
                <w:rFonts w:hint="eastAsia" w:ascii="宋体" w:hAnsi="宋体" w:cs="宋体"/>
              </w:rPr>
              <w:t>投标人需根据故障影响度与紧急度设定故障的优先级，制定出重大故障响应机制与流程。（</w:t>
            </w:r>
            <w:r>
              <w:rPr>
                <w:rFonts w:ascii="宋体" w:hAnsi="宋体" w:cs="宋体"/>
              </w:rPr>
              <w:t>0-</w:t>
            </w:r>
            <w:r>
              <w:rPr>
                <w:rFonts w:hint="eastAsia" w:ascii="宋体" w:hAnsi="宋体" w:cs="宋体"/>
              </w:rPr>
              <w:t>2）</w:t>
            </w:r>
          </w:p>
        </w:tc>
        <w:tc>
          <w:tcPr>
            <w:tcW w:w="806" w:type="dxa"/>
            <w:gridSpan w:val="2"/>
            <w:vMerge w:val="continue"/>
            <w:vAlign w:val="center"/>
          </w:tcPr>
          <w:p>
            <w:pPr>
              <w:widowControl/>
              <w:snapToGrid w:val="0"/>
              <w:spacing w:line="276" w:lineRule="auto"/>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7" w:type="dxa"/>
          <w:trHeight w:val="452" w:hRule="atLeast"/>
          <w:jc w:val="center"/>
        </w:trPr>
        <w:tc>
          <w:tcPr>
            <w:tcW w:w="1353" w:type="dxa"/>
            <w:gridSpan w:val="2"/>
            <w:vAlign w:val="center"/>
          </w:tcPr>
          <w:p>
            <w:pPr>
              <w:widowControl/>
              <w:snapToGrid w:val="0"/>
              <w:spacing w:line="276" w:lineRule="auto"/>
              <w:jc w:val="center"/>
              <w:rPr>
                <w:rFonts w:ascii="Arial" w:hAnsi="Arial" w:cs="Arial"/>
              </w:rPr>
            </w:pPr>
            <w:r>
              <w:rPr>
                <w:rFonts w:hint="eastAsia" w:ascii="宋体" w:hAnsi="宋体" w:cs="宋体"/>
              </w:rPr>
              <w:t>迁移方案</w:t>
            </w:r>
          </w:p>
        </w:tc>
        <w:tc>
          <w:tcPr>
            <w:tcW w:w="7011" w:type="dxa"/>
            <w:vAlign w:val="center"/>
          </w:tcPr>
          <w:p>
            <w:pPr>
              <w:widowControl/>
              <w:snapToGrid w:val="0"/>
              <w:spacing w:line="276" w:lineRule="auto"/>
              <w:rPr>
                <w:rFonts w:ascii="宋体"/>
              </w:rPr>
            </w:pPr>
            <w:r>
              <w:rPr>
                <w:rFonts w:hint="eastAsia" w:ascii="宋体" w:hAnsi="宋体" w:cs="宋体"/>
              </w:rPr>
              <w:t>提出实现对现有各种资源（包括硬件设备、应用软件、网络环境、数据文档、信息资源、服务资源、相关制度文档等）进行全面、平稳迁移的完善可行方案，并确保核心人员随项目迁移的详细、完善、可行方案，从风险、对采购人业务的影响、时间进度等方面综合评审（</w:t>
            </w:r>
            <w:r>
              <w:rPr>
                <w:rFonts w:ascii="宋体" w:hAnsi="宋体" w:cs="宋体"/>
              </w:rPr>
              <w:t>0-</w:t>
            </w:r>
            <w:r>
              <w:rPr>
                <w:rFonts w:hint="eastAsia" w:ascii="宋体" w:hAnsi="宋体" w:cs="宋体"/>
              </w:rPr>
              <w:t>2分）。</w:t>
            </w:r>
          </w:p>
        </w:tc>
        <w:tc>
          <w:tcPr>
            <w:tcW w:w="806" w:type="dxa"/>
            <w:gridSpan w:val="2"/>
            <w:vAlign w:val="center"/>
          </w:tcPr>
          <w:p>
            <w:pPr>
              <w:widowControl/>
              <w:snapToGrid w:val="0"/>
              <w:spacing w:line="276" w:lineRule="auto"/>
              <w:jc w:val="center"/>
              <w:rPr>
                <w:rFonts w:ascii="Arial" w:hAnsi="Arial" w:cs="Arial"/>
              </w:rPr>
            </w:pPr>
            <w:r>
              <w:rPr>
                <w:rFonts w:hint="eastAsia" w:ascii="Arial" w:hAnsi="Arial" w:cs="Aria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7" w:type="dxa"/>
          <w:trHeight w:val="452" w:hRule="atLeast"/>
          <w:jc w:val="center"/>
        </w:trPr>
        <w:tc>
          <w:tcPr>
            <w:tcW w:w="1353" w:type="dxa"/>
            <w:gridSpan w:val="2"/>
            <w:vAlign w:val="center"/>
          </w:tcPr>
          <w:p>
            <w:pPr>
              <w:widowControl/>
              <w:snapToGrid w:val="0"/>
              <w:spacing w:line="276" w:lineRule="auto"/>
              <w:jc w:val="center"/>
              <w:rPr>
                <w:rFonts w:ascii="Arial" w:hAnsi="Arial" w:cs="Arial"/>
              </w:rPr>
            </w:pPr>
            <w:r>
              <w:rPr>
                <w:rFonts w:hint="eastAsia" w:ascii="Arial" w:hAnsi="Arial" w:cs="宋体"/>
              </w:rPr>
              <w:t>服务承诺</w:t>
            </w:r>
          </w:p>
        </w:tc>
        <w:tc>
          <w:tcPr>
            <w:tcW w:w="7011" w:type="dxa"/>
            <w:vAlign w:val="center"/>
          </w:tcPr>
          <w:p>
            <w:pPr>
              <w:widowControl/>
              <w:snapToGrid w:val="0"/>
              <w:spacing w:line="276" w:lineRule="auto"/>
              <w:rPr>
                <w:rFonts w:ascii="Arial" w:hAnsi="Arial" w:cs="Arial"/>
              </w:rPr>
            </w:pPr>
            <w:r>
              <w:rPr>
                <w:rFonts w:hint="eastAsia" w:ascii="Arial" w:hAnsi="Arial" w:cs="宋体"/>
              </w:rPr>
              <w:t>根据投标人服务承诺进行综合评审，得</w:t>
            </w:r>
            <w:r>
              <w:rPr>
                <w:rFonts w:ascii="Arial" w:hAnsi="Arial" w:cs="Arial"/>
              </w:rPr>
              <w:t>0-</w:t>
            </w:r>
            <w:r>
              <w:rPr>
                <w:rFonts w:hint="eastAsia" w:ascii="Arial" w:hAnsi="Arial" w:cs="Arial"/>
              </w:rPr>
              <w:t>3</w:t>
            </w:r>
            <w:r>
              <w:rPr>
                <w:rFonts w:hint="eastAsia" w:ascii="Arial" w:hAnsi="Arial" w:cs="宋体"/>
              </w:rPr>
              <w:t>分。</w:t>
            </w:r>
          </w:p>
        </w:tc>
        <w:tc>
          <w:tcPr>
            <w:tcW w:w="806" w:type="dxa"/>
            <w:gridSpan w:val="2"/>
            <w:vAlign w:val="center"/>
          </w:tcPr>
          <w:p>
            <w:pPr>
              <w:widowControl/>
              <w:snapToGrid w:val="0"/>
              <w:spacing w:line="276" w:lineRule="auto"/>
              <w:jc w:val="center"/>
              <w:rPr>
                <w:rFonts w:ascii="Arial" w:hAnsi="Arial" w:cs="Arial"/>
              </w:rPr>
            </w:pPr>
            <w:r>
              <w:rPr>
                <w:rFonts w:hint="eastAsia" w:ascii="Arial" w:hAnsi="Arial" w:cs="Arial"/>
              </w:rPr>
              <w:t>3</w:t>
            </w:r>
          </w:p>
        </w:tc>
      </w:tr>
    </w:tbl>
    <w:p/>
    <w:p>
      <w:pPr>
        <w:pStyle w:val="2"/>
        <w:numPr>
          <w:ilvl w:val="0"/>
          <w:numId w:val="0"/>
        </w:numPr>
        <w:spacing w:before="0" w:after="0" w:line="360" w:lineRule="auto"/>
        <w:jc w:val="both"/>
        <w:rPr>
          <w:rFonts w:hint="eastAsia" w:ascii="宋体" w:hAnsi="宋体" w:cs="宋体"/>
          <w:sz w:val="32"/>
          <w:szCs w:val="32"/>
        </w:rPr>
      </w:pPr>
      <w:bookmarkStart w:id="67" w:name="_Toc1429148"/>
    </w:p>
    <w:p>
      <w:pPr>
        <w:pStyle w:val="2"/>
        <w:numPr>
          <w:ilvl w:val="0"/>
          <w:numId w:val="0"/>
        </w:numPr>
        <w:spacing w:before="0" w:after="0" w:line="360" w:lineRule="auto"/>
        <w:jc w:val="center"/>
        <w:rPr>
          <w:rFonts w:hint="eastAsia" w:ascii="宋体" w:hAnsi="宋体" w:cs="宋体"/>
          <w:sz w:val="32"/>
          <w:szCs w:val="32"/>
        </w:rPr>
      </w:pPr>
    </w:p>
    <w:p>
      <w:pPr>
        <w:pStyle w:val="2"/>
        <w:numPr>
          <w:ilvl w:val="0"/>
          <w:numId w:val="0"/>
        </w:numPr>
        <w:spacing w:before="0" w:after="0" w:line="360" w:lineRule="auto"/>
        <w:jc w:val="center"/>
        <w:rPr>
          <w:rFonts w:hint="eastAsia" w:ascii="宋体" w:hAnsi="宋体" w:cs="宋体"/>
          <w:sz w:val="32"/>
          <w:szCs w:val="32"/>
        </w:rPr>
      </w:pPr>
    </w:p>
    <w:p>
      <w:pPr>
        <w:pStyle w:val="2"/>
        <w:numPr>
          <w:ilvl w:val="0"/>
          <w:numId w:val="0"/>
        </w:numPr>
        <w:spacing w:before="0" w:after="0" w:line="360" w:lineRule="auto"/>
        <w:jc w:val="center"/>
        <w:rPr>
          <w:rFonts w:hint="eastAsia" w:ascii="宋体" w:hAnsi="宋体" w:cs="宋体"/>
          <w:sz w:val="32"/>
          <w:szCs w:val="32"/>
        </w:rPr>
      </w:pPr>
    </w:p>
    <w:p>
      <w:pPr>
        <w:pStyle w:val="2"/>
        <w:numPr>
          <w:ilvl w:val="0"/>
          <w:numId w:val="0"/>
        </w:numPr>
        <w:spacing w:before="0" w:after="0" w:line="360" w:lineRule="auto"/>
        <w:jc w:val="center"/>
        <w:rPr>
          <w:rFonts w:hint="eastAsia" w:ascii="宋体" w:hAnsi="宋体" w:cs="宋体"/>
          <w:sz w:val="32"/>
          <w:szCs w:val="32"/>
        </w:rPr>
      </w:pPr>
    </w:p>
    <w:p>
      <w:pPr>
        <w:pStyle w:val="2"/>
        <w:numPr>
          <w:ilvl w:val="0"/>
          <w:numId w:val="0"/>
        </w:numPr>
        <w:spacing w:before="0" w:after="0" w:line="360" w:lineRule="auto"/>
        <w:jc w:val="center"/>
        <w:rPr>
          <w:rFonts w:hint="eastAsia" w:ascii="宋体" w:hAnsi="宋体" w:cs="宋体"/>
          <w:sz w:val="32"/>
          <w:szCs w:val="32"/>
        </w:rPr>
      </w:pPr>
    </w:p>
    <w:p>
      <w:pPr>
        <w:pStyle w:val="2"/>
        <w:numPr>
          <w:ilvl w:val="0"/>
          <w:numId w:val="0"/>
        </w:numPr>
        <w:spacing w:before="0" w:after="0" w:line="360" w:lineRule="auto"/>
        <w:jc w:val="both"/>
        <w:rPr>
          <w:rFonts w:hint="eastAsia" w:ascii="宋体" w:hAnsi="宋体" w:cs="宋体"/>
          <w:sz w:val="32"/>
          <w:szCs w:val="32"/>
        </w:rPr>
      </w:pPr>
    </w:p>
    <w:p>
      <w:pPr>
        <w:pStyle w:val="2"/>
        <w:numPr>
          <w:ilvl w:val="0"/>
          <w:numId w:val="0"/>
        </w:numPr>
        <w:spacing w:before="0" w:after="0" w:line="360" w:lineRule="auto"/>
        <w:jc w:val="center"/>
        <w:rPr>
          <w:rFonts w:hint="eastAsia" w:ascii="宋体" w:hAnsi="宋体" w:cs="宋体"/>
          <w:sz w:val="32"/>
          <w:szCs w:val="32"/>
        </w:rPr>
      </w:pPr>
    </w:p>
    <w:p>
      <w:pPr>
        <w:rPr>
          <w:rFonts w:hint="eastAsia" w:ascii="宋体" w:hAnsi="宋体" w:cs="宋体"/>
          <w:sz w:val="32"/>
          <w:szCs w:val="32"/>
        </w:rPr>
      </w:pPr>
      <w:bookmarkStart w:id="368" w:name="_GoBack"/>
      <w:bookmarkEnd w:id="368"/>
    </w:p>
    <w:p>
      <w:pPr>
        <w:pStyle w:val="2"/>
        <w:numPr>
          <w:ilvl w:val="0"/>
          <w:numId w:val="0"/>
        </w:numPr>
        <w:spacing w:before="0" w:after="0" w:line="360" w:lineRule="auto"/>
        <w:jc w:val="center"/>
        <w:rPr>
          <w:rFonts w:ascii="宋体"/>
        </w:rPr>
      </w:pPr>
      <w:r>
        <w:rPr>
          <w:rFonts w:hint="eastAsia" w:ascii="宋体" w:hAnsi="宋体" w:cs="宋体"/>
          <w:sz w:val="32"/>
          <w:szCs w:val="32"/>
        </w:rPr>
        <w:t>第五部分</w:t>
      </w:r>
      <w:r>
        <w:rPr>
          <w:rFonts w:ascii="宋体" w:hAnsi="宋体" w:cs="宋体"/>
          <w:sz w:val="32"/>
          <w:szCs w:val="32"/>
        </w:rPr>
        <w:t xml:space="preserve">  </w:t>
      </w:r>
      <w:r>
        <w:rPr>
          <w:rFonts w:hint="eastAsia" w:ascii="宋体" w:hAnsi="宋体" w:cs="宋体"/>
          <w:sz w:val="32"/>
          <w:szCs w:val="32"/>
        </w:rPr>
        <w:t>中标合同</w:t>
      </w:r>
      <w:bookmarkEnd w:id="65"/>
      <w:bookmarkEnd w:id="66"/>
      <w:bookmarkEnd w:id="67"/>
    </w:p>
    <w:p>
      <w:pPr>
        <w:spacing w:line="360" w:lineRule="auto"/>
        <w:rPr>
          <w:rFonts w:ascii="宋体"/>
        </w:rPr>
      </w:pPr>
    </w:p>
    <w:p>
      <w:pPr>
        <w:spacing w:line="360" w:lineRule="auto"/>
        <w:jc w:val="center"/>
      </w:pPr>
      <w:r>
        <w:rPr>
          <w:rFonts w:hint="eastAsia" w:cs="宋体"/>
        </w:rPr>
        <w:t>合同编号：</w:t>
      </w:r>
    </w:p>
    <w:p>
      <w:pPr>
        <w:spacing w:line="360" w:lineRule="auto"/>
      </w:pPr>
    </w:p>
    <w:p>
      <w:pPr>
        <w:spacing w:line="360" w:lineRule="auto"/>
        <w:jc w:val="center"/>
        <w:rPr>
          <w:b/>
          <w:bCs/>
          <w:sz w:val="72"/>
          <w:szCs w:val="72"/>
        </w:rPr>
      </w:pPr>
      <w:r>
        <w:rPr>
          <w:rFonts w:hint="eastAsia" w:ascii="Arial" w:hAnsi="Arial" w:cs="宋体"/>
        </w:rPr>
        <w:t>（</w:t>
      </w:r>
      <w:r>
        <w:rPr>
          <w:rFonts w:hint="eastAsia" w:ascii="Arial" w:hAnsi="Arial" w:cs="宋体"/>
          <w:b/>
          <w:bCs/>
        </w:rPr>
        <w:t>本合同仅供参考，最终正式合同以双方签订为准</w:t>
      </w:r>
      <w:r>
        <w:rPr>
          <w:rFonts w:hint="eastAsia" w:ascii="Arial" w:hAnsi="Arial" w:cs="宋体"/>
        </w:rPr>
        <w:t>）</w:t>
      </w:r>
    </w:p>
    <w:p>
      <w:pPr>
        <w:spacing w:line="360" w:lineRule="auto"/>
        <w:jc w:val="center"/>
        <w:rPr>
          <w:rFonts w:ascii="Arial" w:hAnsi="Arial" w:cs="Arial"/>
          <w:b/>
          <w:bCs/>
          <w:sz w:val="52"/>
          <w:szCs w:val="52"/>
        </w:rPr>
      </w:pPr>
      <w:r>
        <w:rPr>
          <w:rFonts w:hint="eastAsia" w:ascii="Arial" w:hAnsi="Arial" w:cs="宋体"/>
          <w:b/>
          <w:bCs/>
          <w:sz w:val="52"/>
          <w:szCs w:val="52"/>
        </w:rPr>
        <w:t>甘肃警察职业学院</w:t>
      </w:r>
    </w:p>
    <w:p>
      <w:pPr>
        <w:spacing w:afterLines="50" w:line="360" w:lineRule="auto"/>
        <w:jc w:val="center"/>
        <w:rPr>
          <w:b/>
          <w:bCs/>
          <w:sz w:val="72"/>
          <w:szCs w:val="72"/>
        </w:rPr>
      </w:pPr>
      <w:r>
        <w:rPr>
          <w:rFonts w:hint="eastAsia" w:ascii="Arial" w:hAnsi="Arial" w:cs="宋体"/>
          <w:b/>
          <w:bCs/>
          <w:sz w:val="52"/>
          <w:szCs w:val="52"/>
        </w:rPr>
        <w:t>运维服务合同</w:t>
      </w:r>
    </w:p>
    <w:p>
      <w:pPr>
        <w:spacing w:line="360" w:lineRule="auto"/>
        <w:jc w:val="center"/>
        <w:rPr>
          <w:b/>
          <w:bCs/>
          <w:sz w:val="72"/>
          <w:szCs w:val="72"/>
        </w:rPr>
      </w:pPr>
    </w:p>
    <w:p>
      <w:pPr>
        <w:snapToGrid w:val="0"/>
        <w:spacing w:afterLines="50" w:line="360" w:lineRule="auto"/>
        <w:ind w:firstLine="1343" w:firstLineChars="446"/>
        <w:rPr>
          <w:rFonts w:ascii="Verdana" w:hAnsi="Verdana" w:cs="Verdana"/>
          <w:sz w:val="30"/>
          <w:szCs w:val="30"/>
          <w:u w:val="single"/>
        </w:rPr>
      </w:pPr>
      <w:r>
        <w:rPr>
          <w:rFonts w:hint="eastAsia" w:ascii="Verdana" w:hAnsi="Verdana" w:cs="宋体"/>
          <w:b/>
          <w:bCs/>
          <w:sz w:val="30"/>
          <w:szCs w:val="30"/>
        </w:rPr>
        <w:t>合同名称：</w:t>
      </w:r>
    </w:p>
    <w:p>
      <w:pPr>
        <w:snapToGrid w:val="0"/>
        <w:spacing w:afterLines="50" w:line="360" w:lineRule="auto"/>
        <w:ind w:firstLine="1343" w:firstLineChars="446"/>
        <w:rPr>
          <w:rFonts w:ascii="Verdana" w:hAnsi="Verdana" w:cs="Verdana"/>
          <w:b/>
          <w:bCs/>
          <w:sz w:val="30"/>
          <w:szCs w:val="30"/>
        </w:rPr>
      </w:pPr>
      <w:r>
        <w:rPr>
          <w:rFonts w:hint="eastAsia" w:ascii="Verdana" w:hAnsi="Verdana" w:cs="宋体"/>
          <w:b/>
          <w:bCs/>
          <w:sz w:val="30"/>
          <w:szCs w:val="30"/>
        </w:rPr>
        <w:t>委托人（甲方）：甘肃警察职业学院</w:t>
      </w:r>
    </w:p>
    <w:p>
      <w:pPr>
        <w:snapToGrid w:val="0"/>
        <w:spacing w:afterLines="50" w:line="360" w:lineRule="auto"/>
        <w:ind w:firstLine="1343" w:firstLineChars="446"/>
        <w:rPr>
          <w:rFonts w:ascii="Verdana" w:hAnsi="Verdana" w:cs="Verdana"/>
          <w:b/>
          <w:bCs/>
          <w:sz w:val="30"/>
          <w:szCs w:val="30"/>
        </w:rPr>
      </w:pPr>
      <w:r>
        <w:rPr>
          <w:rFonts w:hint="eastAsia" w:ascii="Verdana" w:hAnsi="Verdana" w:cs="宋体"/>
          <w:b/>
          <w:bCs/>
          <w:sz w:val="30"/>
          <w:szCs w:val="30"/>
        </w:rPr>
        <w:t>受托人（乙方）：</w:t>
      </w:r>
    </w:p>
    <w:p>
      <w:pPr>
        <w:spacing w:line="360" w:lineRule="auto"/>
        <w:ind w:firstLine="482" w:firstLineChars="200"/>
        <w:rPr>
          <w:rFonts w:ascii="Arial" w:hAnsi="Arial" w:cs="Arial"/>
          <w:b/>
          <w:bCs/>
        </w:rPr>
      </w:pPr>
      <w:r>
        <w:rPr>
          <w:rFonts w:ascii="Arial" w:hAnsi="Arial" w:cs="Arial"/>
          <w:b/>
          <w:bCs/>
        </w:rPr>
        <w:br w:type="page"/>
      </w:r>
      <w:r>
        <w:rPr>
          <w:rFonts w:hint="eastAsia" w:ascii="Arial" w:hAnsi="Arial" w:cs="宋体"/>
          <w:b/>
          <w:bCs/>
        </w:rPr>
        <w:t>委托人（甲方）：甘肃警察职业学院</w:t>
      </w:r>
    </w:p>
    <w:p>
      <w:pPr>
        <w:spacing w:line="360" w:lineRule="auto"/>
        <w:ind w:firstLine="482" w:firstLineChars="200"/>
        <w:rPr>
          <w:rFonts w:ascii="Arial" w:hAnsi="Arial" w:cs="Arial"/>
          <w:b/>
          <w:bCs/>
        </w:rPr>
      </w:pPr>
      <w:r>
        <w:rPr>
          <w:rFonts w:hint="eastAsia" w:ascii="Arial" w:hAnsi="Arial" w:cs="宋体"/>
          <w:b/>
          <w:bCs/>
        </w:rPr>
        <w:t>法定代表人：</w:t>
      </w:r>
    </w:p>
    <w:p>
      <w:pPr>
        <w:spacing w:line="360" w:lineRule="auto"/>
        <w:ind w:firstLine="482" w:firstLineChars="200"/>
        <w:rPr>
          <w:rFonts w:ascii="Arial" w:hAnsi="Arial" w:cs="Arial"/>
          <w:b/>
          <w:bCs/>
        </w:rPr>
      </w:pPr>
      <w:r>
        <w:rPr>
          <w:rFonts w:hint="eastAsia" w:ascii="Arial" w:hAnsi="Arial" w:cs="宋体"/>
          <w:b/>
          <w:bCs/>
        </w:rPr>
        <w:t>住所：</w:t>
      </w:r>
    </w:p>
    <w:p>
      <w:pPr>
        <w:spacing w:line="360" w:lineRule="auto"/>
        <w:ind w:firstLine="482" w:firstLineChars="200"/>
        <w:rPr>
          <w:rFonts w:ascii="Arial" w:hAnsi="Arial" w:cs="Arial"/>
          <w:b/>
          <w:bCs/>
        </w:rPr>
      </w:pPr>
    </w:p>
    <w:p>
      <w:pPr>
        <w:spacing w:line="360" w:lineRule="auto"/>
        <w:ind w:firstLine="482" w:firstLineChars="200"/>
        <w:rPr>
          <w:rFonts w:ascii="Arial" w:hAnsi="Arial" w:cs="Arial"/>
          <w:b/>
          <w:bCs/>
        </w:rPr>
      </w:pPr>
      <w:r>
        <w:rPr>
          <w:rFonts w:hint="eastAsia" w:ascii="Arial" w:hAnsi="Arial" w:cs="宋体"/>
          <w:b/>
          <w:bCs/>
        </w:rPr>
        <w:t>受托人（乙方）：</w:t>
      </w:r>
    </w:p>
    <w:p>
      <w:pPr>
        <w:spacing w:line="360" w:lineRule="auto"/>
        <w:ind w:firstLine="482" w:firstLineChars="200"/>
        <w:rPr>
          <w:rFonts w:ascii="Arial" w:hAnsi="Arial" w:cs="Arial"/>
          <w:b/>
          <w:bCs/>
        </w:rPr>
      </w:pPr>
      <w:r>
        <w:rPr>
          <w:rFonts w:hint="eastAsia" w:ascii="Arial" w:hAnsi="Arial" w:cs="宋体"/>
          <w:b/>
          <w:bCs/>
        </w:rPr>
        <w:t>法定代表人：</w:t>
      </w:r>
    </w:p>
    <w:p>
      <w:pPr>
        <w:spacing w:line="360" w:lineRule="auto"/>
        <w:ind w:firstLine="482" w:firstLineChars="200"/>
        <w:rPr>
          <w:rFonts w:ascii="Arial" w:hAnsi="Arial" w:cs="Arial"/>
          <w:b/>
          <w:bCs/>
        </w:rPr>
      </w:pPr>
      <w:r>
        <w:rPr>
          <w:rFonts w:hint="eastAsia" w:ascii="Arial" w:hAnsi="Arial" w:cs="宋体"/>
          <w:b/>
          <w:bCs/>
        </w:rPr>
        <w:t>住所：</w:t>
      </w:r>
    </w:p>
    <w:p>
      <w:pPr>
        <w:spacing w:line="360" w:lineRule="auto"/>
        <w:rPr>
          <w:rFonts w:ascii="Arial" w:hAnsi="Arial" w:cs="Arial"/>
        </w:rPr>
      </w:pPr>
    </w:p>
    <w:p>
      <w:pPr>
        <w:pStyle w:val="13"/>
        <w:spacing w:line="420" w:lineRule="exact"/>
        <w:ind w:left="0" w:leftChars="0" w:firstLine="480" w:firstLineChars="200"/>
        <w:rPr>
          <w:rFonts w:cs="Times New Roman"/>
        </w:rPr>
      </w:pPr>
      <w:r>
        <w:rPr>
          <w:rFonts w:hint="eastAsia"/>
        </w:rPr>
        <w:t>甲、乙双方根据《中华人民共和国合同法》及相关法律法规的规定，经过友好协商，就乙方为甲方项目提供</w:t>
      </w:r>
      <w:r>
        <w:rPr>
          <w:rFonts w:hint="eastAsia"/>
          <w:u w:val="single"/>
        </w:rPr>
        <w:t>信息化运维服务外包项目</w:t>
      </w:r>
      <w:r>
        <w:rPr>
          <w:rFonts w:hint="eastAsia"/>
        </w:rPr>
        <w:t>服务事宜达成本合同，以资共同遵守。</w:t>
      </w:r>
    </w:p>
    <w:p>
      <w:pPr>
        <w:pStyle w:val="13"/>
        <w:spacing w:line="420" w:lineRule="exact"/>
        <w:ind w:firstLine="721"/>
        <w:rPr>
          <w:rFonts w:cs="Times New Roman"/>
          <w:b/>
          <w:bCs/>
        </w:rPr>
      </w:pPr>
    </w:p>
    <w:p>
      <w:pPr>
        <w:pStyle w:val="13"/>
        <w:numPr>
          <w:ilvl w:val="0"/>
          <w:numId w:val="16"/>
        </w:numPr>
        <w:tabs>
          <w:tab w:val="left" w:pos="0"/>
          <w:tab w:val="left" w:pos="476"/>
          <w:tab w:val="clear" w:pos="480"/>
        </w:tabs>
        <w:adjustRightInd/>
        <w:spacing w:line="420" w:lineRule="exact"/>
        <w:ind w:left="0" w:leftChars="0" w:firstLine="0"/>
        <w:jc w:val="both"/>
        <w:textAlignment w:val="auto"/>
        <w:rPr>
          <w:rFonts w:cs="Times New Roman"/>
          <w:b/>
          <w:bCs/>
        </w:rPr>
      </w:pPr>
      <w:r>
        <w:rPr>
          <w:rFonts w:hint="eastAsia"/>
          <w:b/>
          <w:bCs/>
        </w:rPr>
        <w:t>服务事项及内容</w:t>
      </w:r>
    </w:p>
    <w:p>
      <w:pPr>
        <w:pStyle w:val="13"/>
        <w:spacing w:line="420" w:lineRule="exact"/>
        <w:ind w:left="0" w:leftChars="0" w:firstLine="480" w:firstLineChars="200"/>
        <w:rPr>
          <w:rFonts w:cs="Times New Roman"/>
        </w:rPr>
      </w:pPr>
      <w:r>
        <w:rPr>
          <w:rFonts w:hint="eastAsia"/>
        </w:rPr>
        <w:t>乙方为甲方所委托的项目提供如下运行维护服务：</w:t>
      </w:r>
    </w:p>
    <w:p>
      <w:pPr>
        <w:numPr>
          <w:ilvl w:val="0"/>
          <w:numId w:val="17"/>
        </w:numPr>
        <w:adjustRightInd/>
        <w:spacing w:line="420" w:lineRule="exact"/>
        <w:ind w:left="0" w:firstLine="475" w:firstLineChars="198"/>
        <w:jc w:val="both"/>
        <w:textAlignment w:val="auto"/>
        <w:rPr>
          <w:rFonts w:ascii="宋体"/>
        </w:rPr>
      </w:pPr>
      <w:r>
        <w:rPr>
          <w:rFonts w:hint="eastAsia" w:ascii="宋体" w:hAnsi="宋体" w:cs="宋体"/>
        </w:rPr>
        <w:t>技术服务：；</w:t>
      </w:r>
    </w:p>
    <w:p>
      <w:pPr>
        <w:numPr>
          <w:ilvl w:val="0"/>
          <w:numId w:val="17"/>
        </w:numPr>
        <w:adjustRightInd/>
        <w:spacing w:line="420" w:lineRule="exact"/>
        <w:ind w:left="0" w:firstLine="475" w:firstLineChars="198"/>
        <w:jc w:val="both"/>
        <w:textAlignment w:val="auto"/>
        <w:rPr>
          <w:rFonts w:ascii="宋体"/>
        </w:rPr>
      </w:pPr>
      <w:r>
        <w:rPr>
          <w:rFonts w:hint="eastAsia" w:ascii="宋体" w:hAnsi="宋体" w:cs="宋体"/>
        </w:rPr>
        <w:t>内容服务：；</w:t>
      </w:r>
    </w:p>
    <w:p>
      <w:pPr>
        <w:numPr>
          <w:ilvl w:val="0"/>
          <w:numId w:val="17"/>
        </w:numPr>
        <w:adjustRightInd/>
        <w:spacing w:line="420" w:lineRule="exact"/>
        <w:ind w:left="0" w:firstLine="475" w:firstLineChars="198"/>
        <w:jc w:val="both"/>
        <w:textAlignment w:val="auto"/>
        <w:rPr>
          <w:rFonts w:ascii="宋体"/>
        </w:rPr>
      </w:pPr>
      <w:r>
        <w:rPr>
          <w:rFonts w:hint="eastAsia" w:ascii="宋体" w:hAnsi="宋体" w:cs="宋体"/>
        </w:rPr>
        <w:t>客户服务：；</w:t>
      </w:r>
    </w:p>
    <w:p>
      <w:pPr>
        <w:numPr>
          <w:ilvl w:val="0"/>
          <w:numId w:val="17"/>
        </w:numPr>
        <w:adjustRightInd/>
        <w:spacing w:line="420" w:lineRule="exact"/>
        <w:ind w:left="0" w:firstLine="475" w:firstLineChars="198"/>
        <w:jc w:val="both"/>
        <w:textAlignment w:val="auto"/>
        <w:rPr>
          <w:rFonts w:ascii="宋体"/>
        </w:rPr>
      </w:pPr>
      <w:r>
        <w:rPr>
          <w:rFonts w:hint="eastAsia" w:ascii="宋体" w:hAnsi="宋体" w:cs="宋体"/>
        </w:rPr>
        <w:t>其他服务：。</w:t>
      </w:r>
    </w:p>
    <w:p>
      <w:pPr>
        <w:pStyle w:val="13"/>
        <w:widowControl/>
        <w:spacing w:line="420" w:lineRule="exact"/>
        <w:ind w:left="0" w:leftChars="0" w:firstLine="482" w:firstLineChars="200"/>
        <w:rPr>
          <w:rFonts w:cs="Times New Roman"/>
          <w:b/>
          <w:bCs/>
        </w:rPr>
      </w:pPr>
      <w:r>
        <w:rPr>
          <w:rFonts w:hint="eastAsia"/>
          <w:b/>
          <w:bCs/>
        </w:rPr>
        <w:t>（注：请根据具体项目需求详细填写本款内容，也可以附件的形式列明。）</w:t>
      </w:r>
    </w:p>
    <w:p>
      <w:pPr>
        <w:pStyle w:val="13"/>
        <w:widowControl/>
        <w:spacing w:line="420" w:lineRule="exact"/>
        <w:rPr>
          <w:rFonts w:cs="Times New Roman"/>
          <w:i/>
          <w:iCs/>
        </w:rPr>
      </w:pPr>
    </w:p>
    <w:p>
      <w:pPr>
        <w:pStyle w:val="13"/>
        <w:numPr>
          <w:ilvl w:val="0"/>
          <w:numId w:val="16"/>
        </w:numPr>
        <w:tabs>
          <w:tab w:val="left" w:pos="0"/>
          <w:tab w:val="left" w:pos="720"/>
          <w:tab w:val="clear" w:pos="480"/>
        </w:tabs>
        <w:adjustRightInd/>
        <w:spacing w:line="420" w:lineRule="exact"/>
        <w:ind w:left="0" w:leftChars="0" w:firstLine="0"/>
        <w:jc w:val="both"/>
        <w:textAlignment w:val="auto"/>
        <w:rPr>
          <w:rFonts w:cs="Times New Roman"/>
          <w:b/>
          <w:bCs/>
        </w:rPr>
      </w:pPr>
      <w:r>
        <w:rPr>
          <w:rFonts w:hint="eastAsia"/>
          <w:b/>
          <w:bCs/>
        </w:rPr>
        <w:t>服务要求</w:t>
      </w:r>
    </w:p>
    <w:p>
      <w:pPr>
        <w:pStyle w:val="13"/>
        <w:spacing w:line="420" w:lineRule="exact"/>
        <w:ind w:left="0" w:leftChars="0" w:firstLine="480" w:firstLineChars="200"/>
        <w:rPr>
          <w:rFonts w:cs="Times New Roman"/>
        </w:rPr>
      </w:pPr>
      <w:r>
        <w:rPr>
          <w:rFonts w:hint="eastAsia"/>
        </w:rPr>
        <w:t>乙方接受甲方委托所提供的整体运维服务应遵循客观、科学、公平、公正原则，符合国家和相关部门、评估专家对该类项目内容和深度规定的要求及甲方的技术、质量要求。</w:t>
      </w:r>
    </w:p>
    <w:p>
      <w:pPr>
        <w:pStyle w:val="13"/>
        <w:spacing w:line="420" w:lineRule="exact"/>
        <w:rPr>
          <w:rFonts w:cs="Times New Roman"/>
          <w:b/>
          <w:bCs/>
        </w:rPr>
      </w:pPr>
    </w:p>
    <w:p>
      <w:pPr>
        <w:pStyle w:val="13"/>
        <w:numPr>
          <w:ilvl w:val="0"/>
          <w:numId w:val="16"/>
        </w:numPr>
        <w:tabs>
          <w:tab w:val="left" w:pos="0"/>
          <w:tab w:val="left" w:pos="720"/>
        </w:tabs>
        <w:adjustRightInd/>
        <w:spacing w:line="420" w:lineRule="exact"/>
        <w:ind w:left="0" w:leftChars="0" w:firstLine="0"/>
        <w:jc w:val="both"/>
        <w:textAlignment w:val="auto"/>
        <w:rPr>
          <w:rFonts w:cs="Times New Roman"/>
          <w:b/>
          <w:bCs/>
        </w:rPr>
      </w:pPr>
      <w:r>
        <w:rPr>
          <w:rFonts w:hint="eastAsia"/>
          <w:b/>
          <w:bCs/>
        </w:rPr>
        <w:t>服务期限</w:t>
      </w:r>
    </w:p>
    <w:p>
      <w:pPr>
        <w:pStyle w:val="13"/>
        <w:spacing w:line="420" w:lineRule="exact"/>
        <w:ind w:left="0" w:leftChars="0" w:firstLine="480" w:firstLineChars="200"/>
        <w:rPr>
          <w:rFonts w:cs="Times New Roman"/>
        </w:rPr>
      </w:pPr>
      <w:r>
        <w:rPr>
          <w:rFonts w:hint="eastAsia"/>
        </w:rPr>
        <w:t>乙方为甲方提供项目运行维护服务的期限为年，即自年月日起至年月日止。</w:t>
      </w:r>
    </w:p>
    <w:p>
      <w:pPr>
        <w:pStyle w:val="13"/>
        <w:spacing w:line="420" w:lineRule="exact"/>
        <w:rPr>
          <w:rFonts w:cs="Times New Roman"/>
        </w:rPr>
      </w:pPr>
    </w:p>
    <w:p>
      <w:pPr>
        <w:pStyle w:val="13"/>
        <w:numPr>
          <w:ilvl w:val="0"/>
          <w:numId w:val="16"/>
        </w:numPr>
        <w:tabs>
          <w:tab w:val="left" w:pos="0"/>
          <w:tab w:val="left" w:pos="720"/>
        </w:tabs>
        <w:adjustRightInd/>
        <w:spacing w:line="420" w:lineRule="exact"/>
        <w:ind w:left="0" w:leftChars="0" w:firstLine="0"/>
        <w:jc w:val="both"/>
        <w:textAlignment w:val="auto"/>
        <w:rPr>
          <w:rFonts w:cs="Times New Roman"/>
          <w:b/>
          <w:bCs/>
        </w:rPr>
      </w:pPr>
      <w:r>
        <w:rPr>
          <w:rFonts w:hint="eastAsia"/>
          <w:b/>
          <w:bCs/>
        </w:rPr>
        <w:t>合同履行地点</w:t>
      </w:r>
    </w:p>
    <w:p>
      <w:pPr>
        <w:pStyle w:val="13"/>
        <w:spacing w:line="420" w:lineRule="exact"/>
        <w:ind w:left="0" w:leftChars="0" w:firstLine="480" w:firstLineChars="200"/>
        <w:rPr>
          <w:rFonts w:cs="Times New Roman"/>
        </w:rPr>
      </w:pPr>
      <w:r>
        <w:rPr>
          <w:rFonts w:hint="eastAsia"/>
        </w:rPr>
        <w:t>本合同项下的运维服务履行地点为甲方所在地或者甲方指定的地点。</w:t>
      </w:r>
    </w:p>
    <w:p>
      <w:pPr>
        <w:pStyle w:val="13"/>
        <w:spacing w:line="420" w:lineRule="exact"/>
        <w:rPr>
          <w:rFonts w:cs="Times New Roman"/>
        </w:rPr>
      </w:pPr>
    </w:p>
    <w:p>
      <w:pPr>
        <w:pStyle w:val="13"/>
        <w:numPr>
          <w:ilvl w:val="0"/>
          <w:numId w:val="16"/>
        </w:numPr>
        <w:tabs>
          <w:tab w:val="left" w:pos="0"/>
          <w:tab w:val="left" w:pos="720"/>
        </w:tabs>
        <w:adjustRightInd/>
        <w:spacing w:line="420" w:lineRule="exact"/>
        <w:ind w:left="0" w:leftChars="0" w:firstLine="0"/>
        <w:jc w:val="both"/>
        <w:textAlignment w:val="auto"/>
        <w:rPr>
          <w:rFonts w:cs="Times New Roman"/>
          <w:b/>
          <w:bCs/>
        </w:rPr>
      </w:pPr>
      <w:r>
        <w:rPr>
          <w:rFonts w:hint="eastAsia"/>
          <w:b/>
          <w:bCs/>
        </w:rPr>
        <w:t>服务费及支付方式</w:t>
      </w:r>
    </w:p>
    <w:p>
      <w:pPr>
        <w:numPr>
          <w:ilvl w:val="2"/>
          <w:numId w:val="18"/>
        </w:numPr>
        <w:adjustRightInd/>
        <w:spacing w:line="420" w:lineRule="exact"/>
        <w:ind w:firstLine="0"/>
        <w:jc w:val="both"/>
        <w:textAlignment w:val="auto"/>
        <w:rPr>
          <w:rFonts w:ascii="宋体"/>
        </w:rPr>
      </w:pPr>
      <w:r>
        <w:rPr>
          <w:rFonts w:hint="eastAsia" w:ascii="宋体" w:hAnsi="宋体" w:cs="宋体"/>
        </w:rPr>
        <w:t>本合同项下服务费总额为人民币元，大写：圆。前述服务费已经包含乙方完成本合同项下运维服务的全部费用，除前述费用外，甲方无需向乙方另行支付其他任何款项。</w:t>
      </w:r>
    </w:p>
    <w:p>
      <w:pPr>
        <w:numPr>
          <w:ilvl w:val="2"/>
          <w:numId w:val="18"/>
        </w:numPr>
        <w:adjustRightInd/>
        <w:spacing w:line="420" w:lineRule="exact"/>
        <w:ind w:firstLine="0"/>
        <w:jc w:val="both"/>
        <w:textAlignment w:val="auto"/>
        <w:rPr>
          <w:rFonts w:ascii="宋体"/>
        </w:rPr>
      </w:pPr>
      <w:r>
        <w:rPr>
          <w:rFonts w:hint="eastAsia" w:ascii="宋体" w:hAnsi="宋体" w:cs="宋体"/>
        </w:rPr>
        <w:t>甲方将按以下第种方式向乙方支付服务费：</w:t>
      </w:r>
    </w:p>
    <w:p>
      <w:pPr>
        <w:pStyle w:val="13"/>
        <w:spacing w:line="420" w:lineRule="exact"/>
        <w:ind w:left="0" w:leftChars="0" w:firstLine="424" w:firstLineChars="177"/>
        <w:rPr>
          <w:rFonts w:cs="Times New Roman"/>
        </w:rPr>
      </w:pPr>
      <w:r>
        <w:rPr>
          <w:rFonts w:hint="eastAsia"/>
        </w:rPr>
        <w:t>（</w:t>
      </w:r>
      <w:r>
        <w:t>1</w:t>
      </w:r>
      <w:r>
        <w:rPr>
          <w:rFonts w:hint="eastAsia"/>
        </w:rPr>
        <w:t>）一次性支付：甲方于本合同签署之日起个工作日内，向乙方付清本合同项下的服务费。</w:t>
      </w:r>
    </w:p>
    <w:p>
      <w:pPr>
        <w:pStyle w:val="13"/>
        <w:spacing w:line="420" w:lineRule="exact"/>
        <w:ind w:leftChars="178" w:hanging="676" w:hangingChars="282"/>
        <w:rPr>
          <w:rFonts w:cs="Times New Roman"/>
        </w:rPr>
      </w:pPr>
      <w:r>
        <w:rPr>
          <w:rFonts w:hint="eastAsia"/>
        </w:rPr>
        <w:t>（</w:t>
      </w:r>
      <w:r>
        <w:t>2</w:t>
      </w:r>
      <w:r>
        <w:rPr>
          <w:rFonts w:hint="eastAsia"/>
        </w:rPr>
        <w:t>）分期支付：</w:t>
      </w:r>
    </w:p>
    <w:p>
      <w:pPr>
        <w:pStyle w:val="13"/>
        <w:spacing w:line="420" w:lineRule="exact"/>
        <w:ind w:left="0" w:leftChars="0" w:firstLine="544" w:firstLineChars="227"/>
        <w:rPr>
          <w:rFonts w:cs="Times New Roman"/>
        </w:rPr>
      </w:pPr>
      <w:r>
        <w:rPr>
          <w:rFonts w:hint="eastAsia"/>
        </w:rPr>
        <w:t>甲方自本合同签署之日起个工作日内，向乙方支付服务费总额的</w:t>
      </w:r>
      <w:r>
        <w:t>%</w:t>
      </w:r>
      <w:r>
        <w:rPr>
          <w:rFonts w:hint="eastAsia"/>
        </w:rPr>
        <w:t>；运维服务期满，且乙方提交的年度工作报告和提供的运维服务经甲方验收合格后的个工作日内，甲方向乙方支付服务费的</w:t>
      </w:r>
      <w:r>
        <w:t>%</w:t>
      </w:r>
      <w:r>
        <w:rPr>
          <w:rFonts w:hint="eastAsia"/>
        </w:rPr>
        <w:t>。</w:t>
      </w:r>
    </w:p>
    <w:p>
      <w:pPr>
        <w:numPr>
          <w:ilvl w:val="2"/>
          <w:numId w:val="18"/>
        </w:numPr>
        <w:adjustRightInd/>
        <w:spacing w:line="420" w:lineRule="exact"/>
        <w:ind w:firstLine="0"/>
        <w:jc w:val="both"/>
        <w:textAlignment w:val="auto"/>
        <w:rPr>
          <w:rFonts w:ascii="宋体"/>
        </w:rPr>
      </w:pPr>
      <w:r>
        <w:rPr>
          <w:rFonts w:hint="eastAsia" w:ascii="宋体" w:hAnsi="宋体" w:cs="宋体"/>
        </w:rPr>
        <w:t>甲方每次付款前，乙方应向甲方开具正规合法发票。</w:t>
      </w:r>
    </w:p>
    <w:p>
      <w:pPr>
        <w:pStyle w:val="13"/>
        <w:spacing w:line="420" w:lineRule="exact"/>
        <w:rPr>
          <w:rFonts w:cs="Times New Roman"/>
        </w:rPr>
      </w:pPr>
    </w:p>
    <w:p>
      <w:pPr>
        <w:pStyle w:val="13"/>
        <w:numPr>
          <w:ilvl w:val="0"/>
          <w:numId w:val="16"/>
        </w:numPr>
        <w:tabs>
          <w:tab w:val="left" w:pos="0"/>
          <w:tab w:val="left" w:pos="720"/>
        </w:tabs>
        <w:adjustRightInd/>
        <w:spacing w:line="420" w:lineRule="exact"/>
        <w:ind w:left="0" w:leftChars="0" w:firstLine="0"/>
        <w:jc w:val="both"/>
        <w:textAlignment w:val="auto"/>
        <w:rPr>
          <w:rFonts w:cs="Times New Roman"/>
          <w:b/>
          <w:bCs/>
        </w:rPr>
      </w:pPr>
      <w:r>
        <w:rPr>
          <w:rFonts w:hint="eastAsia"/>
          <w:b/>
          <w:bCs/>
        </w:rPr>
        <w:t>甲方的权利义务</w:t>
      </w:r>
    </w:p>
    <w:p>
      <w:pPr>
        <w:numPr>
          <w:ilvl w:val="2"/>
          <w:numId w:val="19"/>
        </w:numPr>
        <w:adjustRightInd/>
        <w:spacing w:line="420" w:lineRule="exact"/>
        <w:ind w:firstLine="0"/>
        <w:jc w:val="both"/>
        <w:textAlignment w:val="auto"/>
        <w:rPr>
          <w:rFonts w:ascii="宋体"/>
        </w:rPr>
      </w:pPr>
      <w:r>
        <w:rPr>
          <w:rFonts w:hint="eastAsia" w:ascii="宋体" w:hAnsi="宋体" w:cs="宋体"/>
        </w:rPr>
        <w:t>甲方负责项目运维方案的审核工作，负责维护工作中重大事项的协调工作，负责预算支出的审核，负责召集专家对重要方案进行论证；</w:t>
      </w:r>
    </w:p>
    <w:p>
      <w:pPr>
        <w:numPr>
          <w:ilvl w:val="2"/>
          <w:numId w:val="19"/>
        </w:numPr>
        <w:adjustRightInd/>
        <w:spacing w:line="420" w:lineRule="exact"/>
        <w:ind w:firstLine="0"/>
        <w:jc w:val="both"/>
        <w:textAlignment w:val="auto"/>
        <w:rPr>
          <w:rFonts w:ascii="宋体"/>
        </w:rPr>
      </w:pPr>
      <w:r>
        <w:rPr>
          <w:rFonts w:hint="eastAsia" w:ascii="宋体" w:hAnsi="宋体" w:cs="宋体"/>
        </w:rPr>
        <w:t>甲方负责项目系统维护服务资金的协调工作；</w:t>
      </w:r>
    </w:p>
    <w:p>
      <w:pPr>
        <w:numPr>
          <w:ilvl w:val="2"/>
          <w:numId w:val="19"/>
        </w:numPr>
        <w:adjustRightInd/>
        <w:spacing w:line="420" w:lineRule="exact"/>
        <w:ind w:firstLine="0"/>
        <w:jc w:val="both"/>
        <w:textAlignment w:val="auto"/>
        <w:rPr>
          <w:rFonts w:ascii="宋体"/>
        </w:rPr>
      </w:pPr>
      <w:r>
        <w:rPr>
          <w:rFonts w:hint="eastAsia" w:ascii="宋体" w:hAnsi="宋体" w:cs="宋体"/>
        </w:rPr>
        <w:t>甲方负责项目的内容策划工作；</w:t>
      </w:r>
    </w:p>
    <w:p>
      <w:pPr>
        <w:numPr>
          <w:ilvl w:val="2"/>
          <w:numId w:val="19"/>
        </w:numPr>
        <w:adjustRightInd/>
        <w:spacing w:line="420" w:lineRule="exact"/>
        <w:ind w:firstLine="0"/>
        <w:jc w:val="both"/>
        <w:textAlignment w:val="auto"/>
        <w:rPr>
          <w:rFonts w:ascii="宋体"/>
        </w:rPr>
      </w:pPr>
      <w:r>
        <w:rPr>
          <w:rFonts w:hint="eastAsia" w:ascii="宋体" w:hAnsi="宋体" w:cs="宋体"/>
        </w:rPr>
        <w:t>甲方负责组织制定项目质量评审标准和办法并依据办法对服务质量进行评审；</w:t>
      </w:r>
    </w:p>
    <w:p>
      <w:pPr>
        <w:numPr>
          <w:ilvl w:val="2"/>
          <w:numId w:val="19"/>
        </w:numPr>
        <w:adjustRightInd/>
        <w:spacing w:line="420" w:lineRule="exact"/>
        <w:ind w:firstLine="0"/>
        <w:jc w:val="both"/>
        <w:textAlignment w:val="auto"/>
        <w:rPr>
          <w:rFonts w:ascii="宋体"/>
        </w:rPr>
      </w:pPr>
      <w:r>
        <w:rPr>
          <w:rFonts w:hint="eastAsia" w:ascii="宋体" w:hAnsi="宋体" w:cs="宋体"/>
        </w:rPr>
        <w:t>甲方负责主导业务需求与应用。对乙方的日常工作进行指导，对相关政策做出明确的解释，当发现乙方工作中存在问题时及时纠正；</w:t>
      </w:r>
    </w:p>
    <w:p>
      <w:pPr>
        <w:numPr>
          <w:ilvl w:val="2"/>
          <w:numId w:val="19"/>
        </w:numPr>
        <w:adjustRightInd/>
        <w:spacing w:line="420" w:lineRule="exact"/>
        <w:ind w:firstLine="0"/>
        <w:jc w:val="both"/>
        <w:textAlignment w:val="auto"/>
        <w:rPr>
          <w:rFonts w:ascii="宋体"/>
        </w:rPr>
      </w:pPr>
      <w:r>
        <w:rPr>
          <w:rFonts w:hint="eastAsia" w:ascii="宋体" w:hAnsi="宋体" w:cs="宋体"/>
        </w:rPr>
        <w:t>甲方负责系统运维日常事项的协调、管理工作，提出业务需求并对需求进行确认；</w:t>
      </w:r>
    </w:p>
    <w:p>
      <w:pPr>
        <w:numPr>
          <w:ilvl w:val="2"/>
          <w:numId w:val="19"/>
        </w:numPr>
        <w:adjustRightInd/>
        <w:spacing w:line="420" w:lineRule="exact"/>
        <w:ind w:firstLine="0"/>
        <w:jc w:val="both"/>
        <w:textAlignment w:val="auto"/>
        <w:rPr>
          <w:rFonts w:ascii="宋体"/>
        </w:rPr>
      </w:pPr>
      <w:r>
        <w:rPr>
          <w:rFonts w:hint="eastAsia" w:ascii="宋体" w:hAnsi="宋体" w:cs="宋体"/>
        </w:rPr>
        <w:t>甲乙双方共同确定对分包商的选择机制和考核评价模式，甲方对考核结果有一票否决权；</w:t>
      </w:r>
    </w:p>
    <w:p>
      <w:pPr>
        <w:numPr>
          <w:ilvl w:val="2"/>
          <w:numId w:val="19"/>
        </w:numPr>
        <w:adjustRightInd/>
        <w:spacing w:line="420" w:lineRule="exact"/>
        <w:ind w:firstLine="0"/>
        <w:jc w:val="both"/>
        <w:textAlignment w:val="auto"/>
        <w:rPr>
          <w:rFonts w:ascii="宋体"/>
        </w:rPr>
      </w:pPr>
      <w:r>
        <w:rPr>
          <w:rFonts w:hint="eastAsia" w:ascii="宋体" w:hAnsi="宋体" w:cs="宋体"/>
        </w:rPr>
        <w:t>甲方负责对本项目乙方人员定期进行考核评价，考核方式包括日常考核、季度考核和年度考核；如发生严重违反合作原则、伤害甲方利益、影响服务质量等行为，甲方有权随时提出人员撤换要求。</w:t>
      </w:r>
    </w:p>
    <w:p>
      <w:pPr>
        <w:numPr>
          <w:ilvl w:val="2"/>
          <w:numId w:val="19"/>
        </w:numPr>
        <w:adjustRightInd/>
        <w:spacing w:line="420" w:lineRule="exact"/>
        <w:ind w:firstLine="0"/>
        <w:jc w:val="both"/>
        <w:textAlignment w:val="auto"/>
        <w:rPr>
          <w:rFonts w:ascii="宋体"/>
        </w:rPr>
      </w:pPr>
      <w:r>
        <w:rPr>
          <w:rFonts w:hint="eastAsia" w:ascii="宋体" w:hAnsi="宋体" w:cs="宋体"/>
        </w:rPr>
        <w:t>甲方负责对乙方参与本项目的核心人员的确定和变更进行审查。</w:t>
      </w:r>
    </w:p>
    <w:p>
      <w:pPr>
        <w:numPr>
          <w:ilvl w:val="2"/>
          <w:numId w:val="19"/>
        </w:numPr>
        <w:adjustRightInd/>
        <w:spacing w:line="420" w:lineRule="exact"/>
        <w:ind w:firstLine="0"/>
        <w:jc w:val="both"/>
        <w:textAlignment w:val="auto"/>
        <w:rPr>
          <w:rFonts w:ascii="宋体"/>
        </w:rPr>
      </w:pPr>
      <w:r>
        <w:rPr>
          <w:rFonts w:ascii="宋体" w:hAnsi="宋体" w:cs="宋体"/>
        </w:rPr>
        <w:t>________________________________</w:t>
      </w:r>
      <w:r>
        <w:rPr>
          <w:rFonts w:hint="eastAsia" w:ascii="宋体" w:hAnsi="宋体" w:cs="宋体"/>
        </w:rPr>
        <w:t>。</w:t>
      </w:r>
    </w:p>
    <w:p>
      <w:pPr>
        <w:spacing w:line="420" w:lineRule="exact"/>
        <w:ind w:firstLine="480" w:firstLineChars="200"/>
        <w:rPr>
          <w:rFonts w:ascii="宋体"/>
        </w:rPr>
      </w:pPr>
    </w:p>
    <w:p>
      <w:pPr>
        <w:pStyle w:val="13"/>
        <w:numPr>
          <w:ilvl w:val="0"/>
          <w:numId w:val="16"/>
        </w:numPr>
        <w:tabs>
          <w:tab w:val="left" w:pos="0"/>
          <w:tab w:val="left" w:pos="720"/>
        </w:tabs>
        <w:adjustRightInd/>
        <w:spacing w:line="420" w:lineRule="exact"/>
        <w:ind w:left="0" w:leftChars="0" w:firstLine="0"/>
        <w:jc w:val="both"/>
        <w:textAlignment w:val="auto"/>
        <w:rPr>
          <w:rFonts w:cs="Times New Roman"/>
          <w:b/>
          <w:bCs/>
        </w:rPr>
      </w:pPr>
      <w:r>
        <w:rPr>
          <w:rFonts w:hint="eastAsia"/>
          <w:b/>
          <w:bCs/>
        </w:rPr>
        <w:t>乙方的权利义务</w:t>
      </w:r>
    </w:p>
    <w:p>
      <w:pPr>
        <w:numPr>
          <w:ilvl w:val="2"/>
          <w:numId w:val="20"/>
        </w:numPr>
        <w:tabs>
          <w:tab w:val="left" w:pos="425"/>
          <w:tab w:val="clear" w:pos="365"/>
        </w:tabs>
        <w:adjustRightInd/>
        <w:spacing w:line="420" w:lineRule="exact"/>
        <w:ind w:left="23" w:firstLine="0"/>
        <w:jc w:val="both"/>
        <w:textAlignment w:val="auto"/>
        <w:rPr>
          <w:rFonts w:ascii="宋体"/>
        </w:rPr>
      </w:pPr>
      <w:r>
        <w:rPr>
          <w:rFonts w:hint="eastAsia" w:ascii="宋体" w:hAnsi="宋体" w:cs="宋体"/>
        </w:rPr>
        <w:t>负责甲方技术运维工作，包括：</w:t>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保障该项目系统的稳定运行</w:t>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负责搭建技术配置库、工单流转流程等。</w:t>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负责组建管理技术运维队伍。</w:t>
      </w:r>
    </w:p>
    <w:p>
      <w:pPr>
        <w:numPr>
          <w:ilvl w:val="1"/>
          <w:numId w:val="21"/>
        </w:numPr>
        <w:adjustRightInd/>
        <w:spacing w:line="420" w:lineRule="exact"/>
        <w:ind w:left="0" w:firstLine="424" w:firstLineChars="177"/>
        <w:jc w:val="both"/>
        <w:textAlignment w:val="auto"/>
        <w:rPr>
          <w:rFonts w:ascii="宋体"/>
        </w:rPr>
      </w:pPr>
      <w:r>
        <w:rPr>
          <w:rFonts w:ascii="宋体" w:hAnsi="宋体" w:cs="宋体"/>
        </w:rPr>
        <w:t>______________________</w:t>
      </w:r>
      <w:r>
        <w:rPr>
          <w:rFonts w:hint="eastAsia" w:ascii="宋体" w:hAnsi="宋体" w:cs="宋体"/>
        </w:rPr>
        <w:t>。</w:t>
      </w:r>
    </w:p>
    <w:p>
      <w:pPr>
        <w:numPr>
          <w:ilvl w:val="2"/>
          <w:numId w:val="20"/>
        </w:numPr>
        <w:tabs>
          <w:tab w:val="left" w:pos="425"/>
          <w:tab w:val="clear" w:pos="365"/>
        </w:tabs>
        <w:adjustRightInd/>
        <w:spacing w:line="420" w:lineRule="exact"/>
        <w:ind w:left="23" w:firstLine="0"/>
        <w:jc w:val="both"/>
        <w:textAlignment w:val="auto"/>
        <w:rPr>
          <w:rFonts w:ascii="宋体"/>
        </w:rPr>
      </w:pPr>
      <w:r>
        <w:rPr>
          <w:rFonts w:hint="eastAsia" w:ascii="宋体" w:hAnsi="宋体" w:cs="宋体"/>
        </w:rPr>
        <w:t>负责项目相关的设计工作，包括如下：</w:t>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负责中英文版设计及日常设计性维护工作（包括专题制作、模版修改、图片制作等）。</w:t>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负责甲方平面设计和其它方面设计工作。</w:t>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负责研究新的页面技术在本项目的应用与实现。</w:t>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负责完成甲方交办的</w:t>
      </w:r>
      <w:r>
        <w:rPr>
          <w:rFonts w:ascii="宋体" w:hAnsi="宋体" w:cs="宋体"/>
        </w:rPr>
        <w:t>PPT</w:t>
      </w:r>
      <w:r>
        <w:rPr>
          <w:rFonts w:hint="eastAsia" w:ascii="宋体" w:hAnsi="宋体" w:cs="宋体"/>
        </w:rPr>
        <w:t>制作等其它制作任务。</w:t>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负责组建管理设计队伍。</w:t>
      </w:r>
    </w:p>
    <w:p>
      <w:pPr>
        <w:numPr>
          <w:ilvl w:val="1"/>
          <w:numId w:val="21"/>
        </w:numPr>
        <w:adjustRightInd/>
        <w:spacing w:line="420" w:lineRule="exact"/>
        <w:ind w:left="0" w:firstLine="424" w:firstLineChars="177"/>
        <w:jc w:val="both"/>
        <w:textAlignment w:val="auto"/>
        <w:rPr>
          <w:rFonts w:ascii="宋体"/>
        </w:rPr>
      </w:pPr>
      <w:r>
        <w:rPr>
          <w:rFonts w:ascii="宋体" w:hAnsi="宋体" w:cs="宋体"/>
        </w:rPr>
        <w:t>____________________</w:t>
      </w:r>
      <w:r>
        <w:rPr>
          <w:rFonts w:hint="eastAsia" w:ascii="宋体" w:hAnsi="宋体" w:cs="宋体"/>
        </w:rPr>
        <w:t>。</w:t>
      </w:r>
    </w:p>
    <w:p>
      <w:pPr>
        <w:numPr>
          <w:ilvl w:val="2"/>
          <w:numId w:val="20"/>
        </w:numPr>
        <w:tabs>
          <w:tab w:val="left" w:pos="425"/>
          <w:tab w:val="clear" w:pos="365"/>
        </w:tabs>
        <w:adjustRightInd/>
        <w:spacing w:line="420" w:lineRule="exact"/>
        <w:ind w:left="23" w:firstLine="0"/>
        <w:jc w:val="both"/>
        <w:textAlignment w:val="auto"/>
        <w:rPr>
          <w:rFonts w:ascii="宋体"/>
        </w:rPr>
      </w:pPr>
      <w:r>
        <w:rPr>
          <w:rFonts w:hint="eastAsia" w:ascii="宋体" w:hAnsi="宋体" w:cs="宋体"/>
        </w:rPr>
        <w:t>负责项目相关的基础（硬件、网络等）运维工作，向甲方提交每月工作汇总，提交系统优化方案，主要内容包括如下：</w:t>
      </w:r>
    </w:p>
    <w:p>
      <w:pPr>
        <w:numPr>
          <w:ilvl w:val="1"/>
          <w:numId w:val="22"/>
        </w:numPr>
        <w:tabs>
          <w:tab w:val="left" w:pos="851"/>
          <w:tab w:val="clear" w:pos="1380"/>
        </w:tabs>
        <w:adjustRightInd/>
        <w:spacing w:line="420" w:lineRule="exact"/>
        <w:ind w:left="0" w:firstLine="424" w:firstLineChars="177"/>
        <w:jc w:val="both"/>
        <w:textAlignment w:val="auto"/>
        <w:rPr>
          <w:rFonts w:ascii="宋体"/>
        </w:rPr>
      </w:pPr>
      <w:r>
        <w:rPr>
          <w:rFonts w:hint="eastAsia" w:ascii="宋体" w:hAnsi="宋体" w:cs="宋体"/>
        </w:rPr>
        <w:t>硬件维护部分</w:t>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服务器工作电源检测</w:t>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服务器网络连接介质检测</w:t>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服务器</w:t>
      </w:r>
      <w:r>
        <w:rPr>
          <w:rFonts w:ascii="宋体" w:hAnsi="宋体" w:cs="宋体"/>
        </w:rPr>
        <w:t>CPU</w:t>
      </w:r>
      <w:r>
        <w:rPr>
          <w:rFonts w:hint="eastAsia" w:ascii="宋体" w:hAnsi="宋体" w:cs="宋体"/>
        </w:rPr>
        <w:t>有效性检测</w:t>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服务器</w:t>
      </w:r>
      <w:r>
        <w:rPr>
          <w:rFonts w:ascii="宋体" w:hAnsi="宋体" w:cs="宋体"/>
        </w:rPr>
        <w:t>CPU</w:t>
      </w:r>
      <w:r>
        <w:rPr>
          <w:rFonts w:hint="eastAsia" w:ascii="宋体" w:hAnsi="宋体" w:cs="宋体"/>
        </w:rPr>
        <w:t>负载检测</w:t>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服务器内存有效性检测</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服务器内存利用率检测</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服务器磁盘有效性检测</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服务器磁盘利用率检测</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服务器磁盘碎片检测</w:t>
      </w:r>
      <w:r>
        <w:rPr>
          <w:rFonts w:ascii="宋体" w:hAnsi="宋体" w:cs="宋体"/>
        </w:rPr>
        <w:t>/</w:t>
      </w:r>
      <w:r>
        <w:rPr>
          <w:rFonts w:hint="eastAsia" w:ascii="宋体" w:hAnsi="宋体" w:cs="宋体"/>
        </w:rPr>
        <w:t>整理</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服务器网卡连接状态检测</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服务器网卡负载检测</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服务器</w:t>
      </w:r>
      <w:r>
        <w:rPr>
          <w:rFonts w:ascii="宋体" w:hAnsi="宋体" w:cs="宋体"/>
        </w:rPr>
        <w:t>RAID</w:t>
      </w:r>
      <w:r>
        <w:rPr>
          <w:rFonts w:hint="eastAsia" w:ascii="宋体" w:hAnsi="宋体" w:cs="宋体"/>
        </w:rPr>
        <w:t>状态检测</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磁带机运行状态检测</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磁盘阵列运行状态检测</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磁盘阵列容量检测</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防火墙工作状态检测</w:t>
      </w:r>
      <w:r>
        <w:rPr>
          <w:rFonts w:ascii="宋体"/>
        </w:rPr>
        <w:tab/>
      </w:r>
    </w:p>
    <w:p>
      <w:pPr>
        <w:numPr>
          <w:ilvl w:val="1"/>
          <w:numId w:val="22"/>
        </w:numPr>
        <w:tabs>
          <w:tab w:val="left" w:pos="851"/>
          <w:tab w:val="clear" w:pos="1380"/>
        </w:tabs>
        <w:adjustRightInd/>
        <w:spacing w:line="420" w:lineRule="exact"/>
        <w:ind w:left="0" w:firstLine="424" w:firstLineChars="177"/>
        <w:jc w:val="both"/>
        <w:textAlignment w:val="auto"/>
        <w:rPr>
          <w:rFonts w:ascii="宋体"/>
        </w:rPr>
      </w:pPr>
      <w:r>
        <w:rPr>
          <w:rFonts w:hint="eastAsia" w:ascii="宋体" w:hAnsi="宋体" w:cs="宋体"/>
        </w:rPr>
        <w:t>操作系统维护部分</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整体运行效率检测</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服务运行状态检测</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系统日志检查</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应用程序日志检查</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安全日志检查</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系统补丁检查</w:t>
      </w:r>
      <w:r>
        <w:rPr>
          <w:rFonts w:ascii="宋体" w:hAnsi="宋体" w:cs="宋体"/>
        </w:rPr>
        <w:t>/</w:t>
      </w:r>
      <w:r>
        <w:rPr>
          <w:rFonts w:hint="eastAsia" w:ascii="宋体" w:hAnsi="宋体" w:cs="宋体"/>
        </w:rPr>
        <w:t>安装</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安全补丁检查</w:t>
      </w:r>
      <w:r>
        <w:rPr>
          <w:rFonts w:ascii="宋体" w:hAnsi="宋体" w:cs="宋体"/>
        </w:rPr>
        <w:t>/</w:t>
      </w:r>
      <w:r>
        <w:rPr>
          <w:rFonts w:hint="eastAsia" w:ascii="宋体" w:hAnsi="宋体" w:cs="宋体"/>
        </w:rPr>
        <w:t>安装</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操作系统配置文件备份</w:t>
      </w:r>
      <w:r>
        <w:rPr>
          <w:rFonts w:ascii="宋体" w:hAnsi="宋体" w:cs="宋体"/>
        </w:rPr>
        <w:t>/</w:t>
      </w:r>
      <w:r>
        <w:rPr>
          <w:rFonts w:hint="eastAsia" w:ascii="宋体" w:hAnsi="宋体" w:cs="宋体"/>
        </w:rPr>
        <w:t>恢复</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病毒库升级</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操作系统重新安装</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系统服务微调</w:t>
      </w:r>
      <w:r>
        <w:rPr>
          <w:rFonts w:ascii="宋体"/>
        </w:rPr>
        <w:tab/>
      </w:r>
    </w:p>
    <w:p>
      <w:pPr>
        <w:numPr>
          <w:ilvl w:val="1"/>
          <w:numId w:val="22"/>
        </w:numPr>
        <w:tabs>
          <w:tab w:val="left" w:pos="851"/>
          <w:tab w:val="clear" w:pos="1380"/>
        </w:tabs>
        <w:adjustRightInd/>
        <w:spacing w:line="420" w:lineRule="exact"/>
        <w:ind w:left="0" w:firstLine="424" w:firstLineChars="177"/>
        <w:jc w:val="both"/>
        <w:textAlignment w:val="auto"/>
        <w:rPr>
          <w:rFonts w:ascii="宋体"/>
        </w:rPr>
      </w:pPr>
      <w:r>
        <w:rPr>
          <w:rFonts w:hint="eastAsia" w:ascii="宋体" w:hAnsi="宋体" w:cs="宋体"/>
        </w:rPr>
        <w:t>应用程序维护部分</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应用程序运行有效性检查</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应用程序兼容性检查</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应用程序完整性检查</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应用程序运行效率检查</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ascii="宋体" w:hAnsi="宋体" w:cs="宋体"/>
        </w:rPr>
        <w:t>FTP</w:t>
      </w:r>
      <w:r>
        <w:rPr>
          <w:rFonts w:hint="eastAsia" w:ascii="宋体" w:hAnsi="宋体" w:cs="宋体"/>
        </w:rPr>
        <w:t>运行状况检查</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ascii="宋体" w:hAnsi="宋体" w:cs="宋体"/>
        </w:rPr>
        <w:t>WEB</w:t>
      </w:r>
      <w:r>
        <w:rPr>
          <w:rFonts w:hint="eastAsia" w:ascii="宋体" w:hAnsi="宋体" w:cs="宋体"/>
        </w:rPr>
        <w:t>链接有效性检查</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ascii="宋体" w:hAnsi="宋体" w:cs="宋体"/>
        </w:rPr>
        <w:t>WEB</w:t>
      </w:r>
      <w:r>
        <w:rPr>
          <w:rFonts w:hint="eastAsia" w:ascii="宋体" w:hAnsi="宋体" w:cs="宋体"/>
        </w:rPr>
        <w:t>内容有效性检查</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中间件运行状态检查</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中间件版本升级检查</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应用程序数据备份</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应用程序备份</w:t>
      </w:r>
      <w:r>
        <w:rPr>
          <w:rFonts w:ascii="宋体" w:hAnsi="宋体" w:cs="宋体"/>
        </w:rPr>
        <w:t>/</w:t>
      </w:r>
      <w:r>
        <w:rPr>
          <w:rFonts w:hint="eastAsia" w:ascii="宋体" w:hAnsi="宋体" w:cs="宋体"/>
        </w:rPr>
        <w:t>恢复</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应用程序重新安装</w:t>
      </w:r>
      <w:r>
        <w:rPr>
          <w:rFonts w:ascii="宋体"/>
        </w:rPr>
        <w:tab/>
      </w:r>
    </w:p>
    <w:p>
      <w:pPr>
        <w:numPr>
          <w:ilvl w:val="1"/>
          <w:numId w:val="22"/>
        </w:numPr>
        <w:tabs>
          <w:tab w:val="left" w:pos="851"/>
          <w:tab w:val="clear" w:pos="1380"/>
        </w:tabs>
        <w:adjustRightInd/>
        <w:spacing w:line="420" w:lineRule="exact"/>
        <w:ind w:left="0" w:firstLine="424" w:firstLineChars="177"/>
        <w:jc w:val="both"/>
        <w:textAlignment w:val="auto"/>
        <w:rPr>
          <w:rFonts w:ascii="宋体"/>
        </w:rPr>
      </w:pPr>
      <w:r>
        <w:rPr>
          <w:rFonts w:hint="eastAsia" w:ascii="宋体" w:hAnsi="宋体" w:cs="宋体"/>
        </w:rPr>
        <w:t>数据库维护部分</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数据库运行状态检查</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数据库存储空间检查</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数据库升级</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数据库补丁安装</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数据库备份</w:t>
      </w:r>
      <w:r>
        <w:rPr>
          <w:rFonts w:ascii="宋体" w:hAnsi="宋体" w:cs="宋体"/>
        </w:rPr>
        <w:t>/</w:t>
      </w:r>
      <w:r>
        <w:rPr>
          <w:rFonts w:hint="eastAsia" w:ascii="宋体" w:hAnsi="宋体" w:cs="宋体"/>
        </w:rPr>
        <w:t>恢复</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操作系统、网络设备、防火墙日志下载</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数据库重新安装</w:t>
      </w:r>
      <w:r>
        <w:rPr>
          <w:rFonts w:ascii="宋体"/>
        </w:rPr>
        <w:tab/>
      </w:r>
    </w:p>
    <w:p>
      <w:pPr>
        <w:numPr>
          <w:ilvl w:val="1"/>
          <w:numId w:val="22"/>
        </w:numPr>
        <w:tabs>
          <w:tab w:val="left" w:pos="851"/>
          <w:tab w:val="clear" w:pos="1380"/>
        </w:tabs>
        <w:adjustRightInd/>
        <w:spacing w:line="420" w:lineRule="exact"/>
        <w:ind w:left="0" w:firstLine="424" w:firstLineChars="177"/>
        <w:jc w:val="both"/>
        <w:textAlignment w:val="auto"/>
        <w:rPr>
          <w:rFonts w:ascii="宋体"/>
        </w:rPr>
      </w:pPr>
      <w:r>
        <w:rPr>
          <w:rFonts w:hint="eastAsia" w:ascii="宋体" w:hAnsi="宋体" w:cs="宋体"/>
        </w:rPr>
        <w:t>应急响应部分（不包括安全事件应急响应）</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ascii="宋体" w:hAnsi="宋体" w:cs="宋体"/>
        </w:rPr>
        <w:t xml:space="preserve">7*24*2 </w:t>
      </w:r>
      <w:r>
        <w:rPr>
          <w:rFonts w:hint="eastAsia" w:ascii="宋体" w:hAnsi="宋体" w:cs="宋体"/>
        </w:rPr>
        <w:t>一般故障响应</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ascii="宋体" w:hAnsi="宋体" w:cs="宋体"/>
        </w:rPr>
        <w:t xml:space="preserve">7*24*1 </w:t>
      </w:r>
      <w:r>
        <w:rPr>
          <w:rFonts w:hint="eastAsia" w:ascii="宋体" w:hAnsi="宋体" w:cs="宋体"/>
        </w:rPr>
        <w:t>严重故障响应</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ascii="宋体" w:hAnsi="宋体" w:cs="宋体"/>
        </w:rPr>
        <w:t xml:space="preserve">7*24*0.5 </w:t>
      </w:r>
      <w:r>
        <w:rPr>
          <w:rFonts w:hint="eastAsia" w:ascii="宋体" w:hAnsi="宋体" w:cs="宋体"/>
        </w:rPr>
        <w:t>灾难性故障响应</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ascii="宋体" w:hAnsi="宋体" w:cs="宋体"/>
        </w:rPr>
        <w:t xml:space="preserve">7*24*1 </w:t>
      </w:r>
      <w:r>
        <w:rPr>
          <w:rFonts w:hint="eastAsia" w:ascii="宋体" w:hAnsi="宋体" w:cs="宋体"/>
        </w:rPr>
        <w:t>硬件备机</w:t>
      </w:r>
      <w:r>
        <w:rPr>
          <w:rFonts w:ascii="宋体" w:hAnsi="宋体" w:cs="宋体"/>
        </w:rPr>
        <w:t>/</w:t>
      </w:r>
      <w:r>
        <w:rPr>
          <w:rFonts w:hint="eastAsia" w:ascii="宋体" w:hAnsi="宋体" w:cs="宋体"/>
        </w:rPr>
        <w:t>备件服务</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报表分析</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周</w:t>
      </w:r>
      <w:r>
        <w:rPr>
          <w:rFonts w:ascii="宋体" w:hAnsi="宋体" w:cs="宋体"/>
        </w:rPr>
        <w:t>/</w:t>
      </w:r>
      <w:r>
        <w:rPr>
          <w:rFonts w:hint="eastAsia" w:ascii="宋体" w:hAnsi="宋体" w:cs="宋体"/>
        </w:rPr>
        <w:t>月运维情况汇总</w:t>
      </w:r>
      <w:r>
        <w:rPr>
          <w:rFonts w:ascii="宋体"/>
        </w:rPr>
        <w:tab/>
      </w:r>
    </w:p>
    <w:p>
      <w:pPr>
        <w:numPr>
          <w:ilvl w:val="1"/>
          <w:numId w:val="21"/>
        </w:numPr>
        <w:adjustRightInd/>
        <w:spacing w:line="420" w:lineRule="exact"/>
        <w:ind w:left="0" w:firstLine="424" w:firstLineChars="177"/>
        <w:jc w:val="both"/>
        <w:textAlignment w:val="auto"/>
        <w:rPr>
          <w:rFonts w:ascii="宋体"/>
        </w:rPr>
      </w:pPr>
      <w:r>
        <w:rPr>
          <w:rFonts w:hint="eastAsia" w:ascii="宋体" w:hAnsi="宋体" w:cs="宋体"/>
        </w:rPr>
        <w:t>周</w:t>
      </w:r>
      <w:r>
        <w:rPr>
          <w:rFonts w:ascii="宋体" w:hAnsi="宋体" w:cs="宋体"/>
        </w:rPr>
        <w:t>/</w:t>
      </w:r>
      <w:r>
        <w:rPr>
          <w:rFonts w:hint="eastAsia" w:ascii="宋体" w:hAnsi="宋体" w:cs="宋体"/>
        </w:rPr>
        <w:t>月运维情况总结</w:t>
      </w:r>
      <w:r>
        <w:rPr>
          <w:rFonts w:ascii="宋体"/>
        </w:rPr>
        <w:tab/>
      </w:r>
    </w:p>
    <w:p>
      <w:pPr>
        <w:numPr>
          <w:ilvl w:val="2"/>
          <w:numId w:val="20"/>
        </w:numPr>
        <w:tabs>
          <w:tab w:val="left" w:pos="425"/>
          <w:tab w:val="clear" w:pos="365"/>
        </w:tabs>
        <w:adjustRightInd/>
        <w:spacing w:line="420" w:lineRule="exact"/>
        <w:ind w:left="23" w:firstLine="0"/>
        <w:jc w:val="both"/>
        <w:textAlignment w:val="auto"/>
        <w:rPr>
          <w:rFonts w:ascii="宋体"/>
        </w:rPr>
      </w:pPr>
      <w:r>
        <w:rPr>
          <w:rFonts w:hint="eastAsia" w:ascii="宋体" w:hAnsi="宋体" w:cs="宋体"/>
        </w:rPr>
        <w:t>正常情况下，乙方应向甲方提供</w:t>
      </w:r>
      <w:r>
        <w:rPr>
          <w:rFonts w:ascii="宋体" w:hAnsi="宋体" w:cs="宋体"/>
        </w:rPr>
        <w:t>7 x 24</w:t>
      </w:r>
      <w:r>
        <w:rPr>
          <w:rFonts w:hint="eastAsia" w:ascii="宋体" w:hAnsi="宋体" w:cs="宋体"/>
        </w:rPr>
        <w:t>小时技术支持服务；在可能导致甲方系统瘫痪等不可挽回的损失时，乙方响应甲方服务要求的时间不得超过一个小时（包括人员及硬件备机、备件）</w:t>
      </w:r>
    </w:p>
    <w:p>
      <w:pPr>
        <w:numPr>
          <w:ilvl w:val="2"/>
          <w:numId w:val="20"/>
        </w:numPr>
        <w:tabs>
          <w:tab w:val="left" w:pos="425"/>
          <w:tab w:val="clear" w:pos="365"/>
        </w:tabs>
        <w:adjustRightInd/>
        <w:spacing w:line="420" w:lineRule="exact"/>
        <w:ind w:left="23" w:firstLine="0"/>
        <w:jc w:val="both"/>
        <w:textAlignment w:val="auto"/>
        <w:rPr>
          <w:rFonts w:ascii="宋体"/>
        </w:rPr>
      </w:pPr>
      <w:r>
        <w:rPr>
          <w:rFonts w:hint="eastAsia" w:ascii="宋体" w:hAnsi="宋体" w:cs="宋体"/>
        </w:rPr>
        <w:t>负责项目建设的整体技术服务，提供系统维护和日常维护。在技术上确保项目系统安全可靠、稳定高效的运行；</w:t>
      </w:r>
    </w:p>
    <w:p>
      <w:pPr>
        <w:numPr>
          <w:ilvl w:val="2"/>
          <w:numId w:val="20"/>
        </w:numPr>
        <w:tabs>
          <w:tab w:val="left" w:pos="425"/>
          <w:tab w:val="clear" w:pos="365"/>
        </w:tabs>
        <w:adjustRightInd/>
        <w:spacing w:line="420" w:lineRule="exact"/>
        <w:ind w:left="23" w:firstLine="0"/>
        <w:jc w:val="both"/>
        <w:textAlignment w:val="auto"/>
        <w:rPr>
          <w:rFonts w:ascii="宋体"/>
        </w:rPr>
      </w:pPr>
      <w:r>
        <w:rPr>
          <w:rFonts w:hint="eastAsia" w:ascii="宋体" w:hAnsi="宋体" w:cs="宋体"/>
        </w:rPr>
        <w:t>根据甲方现有维护内容及标准，制定本年度工作方案及计划，按时保质完成工作目标；</w:t>
      </w:r>
    </w:p>
    <w:p>
      <w:pPr>
        <w:numPr>
          <w:ilvl w:val="2"/>
          <w:numId w:val="20"/>
        </w:numPr>
        <w:tabs>
          <w:tab w:val="left" w:pos="425"/>
          <w:tab w:val="clear" w:pos="365"/>
        </w:tabs>
        <w:adjustRightInd/>
        <w:spacing w:line="420" w:lineRule="exact"/>
        <w:ind w:left="23" w:firstLine="0"/>
        <w:jc w:val="both"/>
        <w:textAlignment w:val="auto"/>
        <w:rPr>
          <w:rFonts w:ascii="宋体"/>
        </w:rPr>
      </w:pPr>
      <w:r>
        <w:rPr>
          <w:rFonts w:hint="eastAsia" w:ascii="宋体" w:hAnsi="宋体" w:cs="宋体"/>
        </w:rPr>
        <w:t>负责完成项目系统整体改造工作，并按照甲方的要求进行系统升级；</w:t>
      </w:r>
    </w:p>
    <w:p>
      <w:pPr>
        <w:numPr>
          <w:ilvl w:val="2"/>
          <w:numId w:val="20"/>
        </w:numPr>
        <w:tabs>
          <w:tab w:val="left" w:pos="425"/>
          <w:tab w:val="clear" w:pos="365"/>
        </w:tabs>
        <w:adjustRightInd/>
        <w:spacing w:line="420" w:lineRule="exact"/>
        <w:ind w:left="23" w:firstLine="0"/>
        <w:jc w:val="both"/>
        <w:textAlignment w:val="auto"/>
        <w:rPr>
          <w:rFonts w:ascii="宋体"/>
        </w:rPr>
      </w:pPr>
      <w:r>
        <w:rPr>
          <w:rFonts w:hint="eastAsia" w:ascii="宋体" w:hAnsi="宋体" w:cs="宋体"/>
        </w:rPr>
        <w:t>负责建立完善的项目管理机制，保证日常维护、软件开发的进度及质量。建立符合甲方系统维护和工程建设要求的项目管理文档和技术文档；</w:t>
      </w:r>
    </w:p>
    <w:p>
      <w:pPr>
        <w:numPr>
          <w:ilvl w:val="2"/>
          <w:numId w:val="20"/>
        </w:numPr>
        <w:tabs>
          <w:tab w:val="left" w:pos="425"/>
          <w:tab w:val="clear" w:pos="365"/>
        </w:tabs>
        <w:adjustRightInd/>
        <w:spacing w:line="420" w:lineRule="exact"/>
        <w:ind w:left="23" w:firstLine="0"/>
        <w:jc w:val="both"/>
        <w:textAlignment w:val="auto"/>
        <w:rPr>
          <w:rFonts w:ascii="宋体"/>
        </w:rPr>
      </w:pPr>
      <w:r>
        <w:rPr>
          <w:rFonts w:hint="eastAsia" w:ascii="宋体" w:hAnsi="宋体" w:cs="宋体"/>
        </w:rPr>
        <w:t>负责新增软硬件、数据库和应用系统的建设及与原有系统的集成，保证系统安全、稳定运行；</w:t>
      </w:r>
    </w:p>
    <w:p>
      <w:pPr>
        <w:numPr>
          <w:ilvl w:val="2"/>
          <w:numId w:val="20"/>
        </w:numPr>
        <w:tabs>
          <w:tab w:val="left" w:pos="425"/>
          <w:tab w:val="left" w:pos="567"/>
          <w:tab w:val="clear" w:pos="365"/>
        </w:tabs>
        <w:adjustRightInd/>
        <w:spacing w:line="420" w:lineRule="exact"/>
        <w:ind w:left="23" w:firstLine="0"/>
        <w:jc w:val="both"/>
        <w:textAlignment w:val="auto"/>
        <w:rPr>
          <w:rFonts w:ascii="宋体"/>
        </w:rPr>
      </w:pPr>
      <w:r>
        <w:rPr>
          <w:rFonts w:hint="eastAsia" w:ascii="宋体" w:hAnsi="宋体" w:cs="宋体"/>
        </w:rPr>
        <w:t>负责制定系统安全、稳定运行的各项技术性规范，建立运维服务的应急保障机制；</w:t>
      </w:r>
    </w:p>
    <w:p>
      <w:pPr>
        <w:numPr>
          <w:ilvl w:val="2"/>
          <w:numId w:val="20"/>
        </w:numPr>
        <w:tabs>
          <w:tab w:val="left" w:pos="425"/>
          <w:tab w:val="left" w:pos="567"/>
          <w:tab w:val="clear" w:pos="365"/>
        </w:tabs>
        <w:adjustRightInd/>
        <w:spacing w:line="420" w:lineRule="exact"/>
        <w:ind w:left="23" w:firstLine="0"/>
        <w:jc w:val="both"/>
        <w:textAlignment w:val="auto"/>
        <w:rPr>
          <w:rFonts w:ascii="宋体"/>
        </w:rPr>
      </w:pPr>
      <w:r>
        <w:rPr>
          <w:rFonts w:hint="eastAsia" w:ascii="宋体" w:hAnsi="宋体" w:cs="宋体"/>
        </w:rPr>
        <w:t>负责做好应急预案的落实工作，严格按照《兰州市市国家机关重大信息安全事件报告制度》（京信息办函</w:t>
      </w:r>
      <w:r>
        <w:rPr>
          <w:rFonts w:ascii="宋体" w:hAnsi="宋体" w:cs="宋体"/>
        </w:rPr>
        <w:t>[2006]140</w:t>
      </w:r>
      <w:r>
        <w:rPr>
          <w:rFonts w:hint="eastAsia" w:ascii="宋体" w:hAnsi="宋体" w:cs="宋体"/>
        </w:rPr>
        <w:t>号）有关要求，做好事件上报工作；</w:t>
      </w:r>
    </w:p>
    <w:p>
      <w:pPr>
        <w:numPr>
          <w:ilvl w:val="2"/>
          <w:numId w:val="20"/>
        </w:numPr>
        <w:tabs>
          <w:tab w:val="left" w:pos="425"/>
          <w:tab w:val="left" w:pos="567"/>
          <w:tab w:val="clear" w:pos="365"/>
        </w:tabs>
        <w:adjustRightInd/>
        <w:spacing w:line="420" w:lineRule="exact"/>
        <w:ind w:left="23" w:firstLine="0"/>
        <w:jc w:val="both"/>
        <w:textAlignment w:val="auto"/>
        <w:rPr>
          <w:rFonts w:ascii="宋体"/>
        </w:rPr>
      </w:pPr>
      <w:r>
        <w:rPr>
          <w:rFonts w:hint="eastAsia" w:ascii="宋体" w:hAnsi="宋体" w:cs="宋体"/>
        </w:rPr>
        <w:t>服务期间，乙方应于每月日前定期向甲方提交当月工作进度报告，报告内容包括项目进度执行情况、已完成的项目内容、人员配置情况，以及项目变更情况等；</w:t>
      </w:r>
    </w:p>
    <w:p>
      <w:pPr>
        <w:numPr>
          <w:ilvl w:val="2"/>
          <w:numId w:val="20"/>
        </w:numPr>
        <w:tabs>
          <w:tab w:val="left" w:pos="425"/>
          <w:tab w:val="left" w:pos="567"/>
          <w:tab w:val="clear" w:pos="365"/>
        </w:tabs>
        <w:adjustRightInd/>
        <w:spacing w:line="420" w:lineRule="exact"/>
        <w:ind w:left="23" w:firstLine="0"/>
        <w:jc w:val="both"/>
        <w:textAlignment w:val="auto"/>
        <w:rPr>
          <w:rFonts w:ascii="宋体"/>
        </w:rPr>
      </w:pPr>
      <w:r>
        <w:rPr>
          <w:rFonts w:hint="eastAsia" w:ascii="宋体" w:hAnsi="宋体" w:cs="宋体"/>
        </w:rPr>
        <w:t>负责做好项目执行过程中形成的归乙方所有的软硬件资产的管理工作；</w:t>
      </w:r>
    </w:p>
    <w:p>
      <w:pPr>
        <w:numPr>
          <w:ilvl w:val="2"/>
          <w:numId w:val="20"/>
        </w:numPr>
        <w:tabs>
          <w:tab w:val="left" w:pos="425"/>
          <w:tab w:val="left" w:pos="567"/>
          <w:tab w:val="clear" w:pos="365"/>
        </w:tabs>
        <w:adjustRightInd/>
        <w:spacing w:line="420" w:lineRule="exact"/>
        <w:ind w:left="23" w:firstLine="0"/>
        <w:jc w:val="both"/>
        <w:textAlignment w:val="auto"/>
        <w:rPr>
          <w:rFonts w:ascii="宋体"/>
        </w:rPr>
      </w:pPr>
      <w:r>
        <w:rPr>
          <w:rFonts w:hint="eastAsia" w:ascii="宋体" w:hAnsi="宋体" w:cs="宋体"/>
        </w:rPr>
        <w:t>负责分包商管理。</w:t>
      </w:r>
    </w:p>
    <w:p>
      <w:pPr>
        <w:numPr>
          <w:ilvl w:val="2"/>
          <w:numId w:val="20"/>
        </w:numPr>
        <w:tabs>
          <w:tab w:val="left" w:pos="425"/>
          <w:tab w:val="left" w:pos="567"/>
          <w:tab w:val="clear" w:pos="365"/>
        </w:tabs>
        <w:adjustRightInd/>
        <w:spacing w:line="420" w:lineRule="exact"/>
        <w:ind w:left="23" w:firstLine="0"/>
        <w:jc w:val="both"/>
        <w:textAlignment w:val="auto"/>
        <w:rPr>
          <w:rFonts w:ascii="宋体"/>
        </w:rPr>
      </w:pPr>
      <w:r>
        <w:rPr>
          <w:rFonts w:ascii="宋体" w:hAnsi="宋体" w:cs="宋体"/>
        </w:rPr>
        <w:t>_________________________</w:t>
      </w:r>
      <w:r>
        <w:rPr>
          <w:rFonts w:hint="eastAsia" w:ascii="宋体" w:hAnsi="宋体" w:cs="宋体"/>
        </w:rPr>
        <w:t>。</w:t>
      </w:r>
    </w:p>
    <w:p>
      <w:pPr>
        <w:spacing w:line="420" w:lineRule="exact"/>
        <w:rPr>
          <w:rFonts w:ascii="宋体"/>
        </w:rPr>
      </w:pPr>
    </w:p>
    <w:p>
      <w:pPr>
        <w:pStyle w:val="13"/>
        <w:numPr>
          <w:ilvl w:val="0"/>
          <w:numId w:val="16"/>
        </w:numPr>
        <w:tabs>
          <w:tab w:val="left" w:pos="0"/>
          <w:tab w:val="left" w:pos="720"/>
        </w:tabs>
        <w:adjustRightInd/>
        <w:spacing w:line="420" w:lineRule="exact"/>
        <w:ind w:left="0" w:leftChars="0" w:firstLine="0"/>
        <w:jc w:val="both"/>
        <w:textAlignment w:val="auto"/>
        <w:rPr>
          <w:rFonts w:cs="Times New Roman"/>
          <w:b/>
          <w:bCs/>
        </w:rPr>
      </w:pPr>
      <w:r>
        <w:rPr>
          <w:rFonts w:hint="eastAsia"/>
          <w:b/>
          <w:bCs/>
        </w:rPr>
        <w:t>分包商管理</w:t>
      </w:r>
    </w:p>
    <w:p>
      <w:pPr>
        <w:numPr>
          <w:ilvl w:val="2"/>
          <w:numId w:val="23"/>
        </w:numPr>
        <w:tabs>
          <w:tab w:val="left" w:pos="900"/>
          <w:tab w:val="left" w:pos="1080"/>
        </w:tabs>
        <w:adjustRightInd/>
        <w:spacing w:line="420" w:lineRule="exact"/>
        <w:ind w:firstLine="0"/>
        <w:jc w:val="both"/>
        <w:textAlignment w:val="auto"/>
        <w:rPr>
          <w:rFonts w:ascii="宋体"/>
          <w:b/>
          <w:bCs/>
        </w:rPr>
      </w:pPr>
      <w:r>
        <w:rPr>
          <w:rFonts w:hint="eastAsia" w:ascii="宋体" w:hAnsi="宋体" w:cs="宋体"/>
          <w:lang w:val="zh-CN"/>
        </w:rPr>
        <w:t>分包商由乙方负责管理，并对分包商的服务质量承担连带责任，甲方提出需求并负责监督工作；</w:t>
      </w:r>
    </w:p>
    <w:p>
      <w:pPr>
        <w:numPr>
          <w:ilvl w:val="2"/>
          <w:numId w:val="23"/>
        </w:numPr>
        <w:tabs>
          <w:tab w:val="left" w:pos="900"/>
          <w:tab w:val="left" w:pos="1080"/>
        </w:tabs>
        <w:adjustRightInd/>
        <w:spacing w:line="420" w:lineRule="exact"/>
        <w:ind w:firstLine="0"/>
        <w:jc w:val="both"/>
        <w:textAlignment w:val="auto"/>
        <w:rPr>
          <w:rFonts w:ascii="宋体"/>
          <w:b/>
          <w:bCs/>
        </w:rPr>
      </w:pPr>
      <w:r>
        <w:rPr>
          <w:rFonts w:hint="eastAsia" w:ascii="宋体" w:hAnsi="宋体" w:cs="宋体"/>
        </w:rPr>
        <w:t>分包商的服务质量将纳入对乙方的考核中。</w:t>
      </w:r>
    </w:p>
    <w:p>
      <w:pPr>
        <w:tabs>
          <w:tab w:val="left" w:pos="900"/>
          <w:tab w:val="left" w:pos="1080"/>
        </w:tabs>
        <w:spacing w:line="420" w:lineRule="exact"/>
        <w:ind w:left="23"/>
        <w:rPr>
          <w:rFonts w:ascii="宋体"/>
          <w:b/>
          <w:bCs/>
        </w:rPr>
      </w:pPr>
    </w:p>
    <w:p>
      <w:pPr>
        <w:pStyle w:val="13"/>
        <w:numPr>
          <w:ilvl w:val="0"/>
          <w:numId w:val="16"/>
        </w:numPr>
        <w:tabs>
          <w:tab w:val="left" w:pos="0"/>
          <w:tab w:val="left" w:pos="720"/>
        </w:tabs>
        <w:adjustRightInd/>
        <w:spacing w:line="420" w:lineRule="exact"/>
        <w:ind w:left="0" w:leftChars="0" w:firstLine="0"/>
        <w:jc w:val="both"/>
        <w:textAlignment w:val="auto"/>
        <w:rPr>
          <w:rFonts w:cs="Times New Roman"/>
          <w:b/>
          <w:bCs/>
        </w:rPr>
      </w:pPr>
      <w:r>
        <w:rPr>
          <w:rFonts w:hint="eastAsia"/>
          <w:b/>
          <w:bCs/>
        </w:rPr>
        <w:t>项目管理小组及技术人员要求</w:t>
      </w:r>
    </w:p>
    <w:p>
      <w:pPr>
        <w:numPr>
          <w:ilvl w:val="2"/>
          <w:numId w:val="24"/>
        </w:numPr>
        <w:adjustRightInd/>
        <w:spacing w:line="420" w:lineRule="exact"/>
        <w:ind w:firstLine="0"/>
        <w:jc w:val="both"/>
        <w:textAlignment w:val="auto"/>
        <w:rPr>
          <w:rFonts w:ascii="宋体"/>
        </w:rPr>
      </w:pPr>
      <w:r>
        <w:rPr>
          <w:rFonts w:hint="eastAsia" w:ascii="宋体" w:hAnsi="宋体" w:cs="宋体"/>
        </w:rPr>
        <w:t>双方各指派一名代表作为本项目负责人，项目负责人职责范围包括：。</w:t>
      </w:r>
    </w:p>
    <w:p>
      <w:pPr>
        <w:numPr>
          <w:ilvl w:val="2"/>
          <w:numId w:val="24"/>
        </w:numPr>
        <w:adjustRightInd/>
        <w:spacing w:line="420" w:lineRule="exact"/>
        <w:ind w:firstLine="0"/>
        <w:jc w:val="both"/>
        <w:textAlignment w:val="auto"/>
        <w:rPr>
          <w:rFonts w:ascii="宋体"/>
        </w:rPr>
      </w:pPr>
      <w:r>
        <w:rPr>
          <w:rFonts w:hint="eastAsia" w:ascii="宋体" w:hAnsi="宋体" w:cs="宋体"/>
        </w:rPr>
        <w:t>项目技术人员资格</w:t>
      </w:r>
    </w:p>
    <w:p>
      <w:pPr>
        <w:spacing w:line="420" w:lineRule="exact"/>
        <w:ind w:firstLine="480" w:firstLineChars="200"/>
        <w:rPr>
          <w:rFonts w:ascii="宋体"/>
        </w:rPr>
      </w:pPr>
      <w:r>
        <w:rPr>
          <w:rFonts w:hint="eastAsia" w:ascii="宋体" w:hAnsi="宋体" w:cs="宋体"/>
        </w:rPr>
        <w:t>乙方须根据项目要求安排具备相应资质的专业技术人员，并确保项目实施队伍的稳定（项目技术人员名单和简历详见附件）。项目实施过程中，乙方如因正当理由需要调整项目技术人员的，应当提前日通知甲方，获得甲方书面同意后方可进行。</w:t>
      </w:r>
    </w:p>
    <w:p>
      <w:pPr>
        <w:spacing w:line="420" w:lineRule="exact"/>
        <w:ind w:firstLine="482" w:firstLineChars="200"/>
        <w:rPr>
          <w:rFonts w:ascii="宋体"/>
          <w:b/>
          <w:bCs/>
          <w:kern w:val="44"/>
        </w:rPr>
      </w:pPr>
    </w:p>
    <w:p>
      <w:pPr>
        <w:pStyle w:val="13"/>
        <w:numPr>
          <w:ilvl w:val="0"/>
          <w:numId w:val="16"/>
        </w:numPr>
        <w:tabs>
          <w:tab w:val="left" w:pos="0"/>
          <w:tab w:val="left" w:pos="720"/>
        </w:tabs>
        <w:adjustRightInd/>
        <w:spacing w:line="420" w:lineRule="exact"/>
        <w:ind w:left="0" w:leftChars="0" w:firstLine="0"/>
        <w:jc w:val="both"/>
        <w:textAlignment w:val="auto"/>
        <w:rPr>
          <w:rFonts w:cs="Times New Roman"/>
          <w:b/>
          <w:bCs/>
        </w:rPr>
      </w:pPr>
      <w:r>
        <w:rPr>
          <w:rFonts w:hint="eastAsia"/>
          <w:b/>
          <w:bCs/>
        </w:rPr>
        <w:t>委托项目工作成果的评价、验收</w:t>
      </w:r>
    </w:p>
    <w:p>
      <w:pPr>
        <w:numPr>
          <w:ilvl w:val="2"/>
          <w:numId w:val="25"/>
        </w:numPr>
        <w:adjustRightInd/>
        <w:spacing w:line="420" w:lineRule="exact"/>
        <w:ind w:firstLine="0"/>
        <w:jc w:val="both"/>
        <w:textAlignment w:val="auto"/>
        <w:rPr>
          <w:rFonts w:ascii="宋体"/>
        </w:rPr>
      </w:pPr>
      <w:r>
        <w:rPr>
          <w:rFonts w:hint="eastAsia" w:ascii="宋体" w:hAnsi="宋体" w:cs="宋体"/>
        </w:rPr>
        <w:t>评价目标：</w:t>
      </w:r>
    </w:p>
    <w:p>
      <w:pPr>
        <w:numPr>
          <w:ilvl w:val="0"/>
          <w:numId w:val="26"/>
        </w:numPr>
        <w:adjustRightInd/>
        <w:spacing w:line="420" w:lineRule="exact"/>
        <w:ind w:left="896" w:firstLine="0"/>
        <w:jc w:val="both"/>
        <w:textAlignment w:val="auto"/>
        <w:rPr>
          <w:rFonts w:ascii="宋体"/>
        </w:rPr>
      </w:pPr>
      <w:r>
        <w:rPr>
          <w:rFonts w:hint="eastAsia" w:ascii="宋体" w:hAnsi="宋体" w:cs="宋体"/>
        </w:rPr>
        <w:t>使该项目成为国内在信息内容、应用服务、技术支持、信息共享等方面全面领先的项目，中英文版认知度大幅度提高。</w:t>
      </w:r>
    </w:p>
    <w:p>
      <w:pPr>
        <w:numPr>
          <w:ilvl w:val="0"/>
          <w:numId w:val="26"/>
        </w:numPr>
        <w:adjustRightInd/>
        <w:spacing w:line="420" w:lineRule="exact"/>
        <w:ind w:left="896" w:firstLine="0"/>
        <w:jc w:val="both"/>
        <w:textAlignment w:val="auto"/>
        <w:rPr>
          <w:rFonts w:ascii="宋体"/>
        </w:rPr>
      </w:pPr>
      <w:r>
        <w:rPr>
          <w:rFonts w:hint="eastAsia" w:ascii="宋体" w:hAnsi="宋体" w:cs="宋体"/>
        </w:rPr>
        <w:t>全面改造技术架构，确保校园信息化使用</w:t>
      </w:r>
      <w:r>
        <w:rPr>
          <w:rFonts w:hint="eastAsia" w:ascii="宋体" w:cs="宋体"/>
        </w:rPr>
        <w:t>“</w:t>
      </w:r>
      <w:r>
        <w:rPr>
          <w:rFonts w:hint="eastAsia" w:ascii="宋体" w:hAnsi="宋体" w:cs="宋体"/>
        </w:rPr>
        <w:t>高速、稳定、安全、便捷</w:t>
      </w:r>
      <w:r>
        <w:rPr>
          <w:rFonts w:hint="eastAsia" w:ascii="宋体" w:cs="宋体"/>
        </w:rPr>
        <w:t>”</w:t>
      </w:r>
      <w:r>
        <w:rPr>
          <w:rFonts w:hint="eastAsia" w:ascii="宋体" w:hAnsi="宋体" w:cs="宋体"/>
        </w:rPr>
        <w:t>。门户校园信息化网络、设备、系统、应用、监管全年不间断，校园信息化可用性达到</w:t>
      </w:r>
      <w:r>
        <w:rPr>
          <w:rFonts w:ascii="宋体" w:hAnsi="宋体" w:cs="宋体"/>
        </w:rPr>
        <w:t>%</w:t>
      </w:r>
      <w:r>
        <w:rPr>
          <w:rFonts w:hint="eastAsia" w:ascii="宋体" w:hAnsi="宋体" w:cs="宋体"/>
        </w:rPr>
        <w:t>，访问支撑能力达到每天次点击以上，保证</w:t>
      </w:r>
      <w:r>
        <w:rPr>
          <w:rFonts w:ascii="宋体" w:hAnsi="宋体" w:cs="宋体"/>
        </w:rPr>
        <w:t>100%</w:t>
      </w:r>
      <w:r>
        <w:rPr>
          <w:rFonts w:hint="eastAsia" w:ascii="宋体" w:hAnsi="宋体" w:cs="宋体"/>
        </w:rPr>
        <w:t>准确及时发现校园信息化重大安全问题。</w:t>
      </w:r>
    </w:p>
    <w:p>
      <w:pPr>
        <w:numPr>
          <w:ilvl w:val="0"/>
          <w:numId w:val="26"/>
        </w:numPr>
        <w:adjustRightInd/>
        <w:spacing w:line="420" w:lineRule="exact"/>
        <w:ind w:left="896" w:firstLine="0"/>
        <w:jc w:val="both"/>
        <w:textAlignment w:val="auto"/>
        <w:rPr>
          <w:rFonts w:ascii="宋体"/>
        </w:rPr>
      </w:pPr>
      <w:r>
        <w:rPr>
          <w:rFonts w:hint="eastAsia" w:ascii="宋体" w:hAnsi="宋体" w:cs="宋体"/>
        </w:rPr>
        <w:t>。</w:t>
      </w:r>
    </w:p>
    <w:p>
      <w:pPr>
        <w:numPr>
          <w:ilvl w:val="2"/>
          <w:numId w:val="25"/>
        </w:numPr>
        <w:adjustRightInd/>
        <w:spacing w:line="420" w:lineRule="exact"/>
        <w:ind w:firstLine="0"/>
        <w:jc w:val="both"/>
        <w:textAlignment w:val="auto"/>
        <w:rPr>
          <w:rFonts w:ascii="宋体"/>
        </w:rPr>
      </w:pPr>
      <w:r>
        <w:rPr>
          <w:rFonts w:hint="eastAsia" w:ascii="宋体" w:hAnsi="宋体" w:cs="宋体"/>
        </w:rPr>
        <w:t>验收标准：</w:t>
      </w:r>
    </w:p>
    <w:p>
      <w:pPr>
        <w:pStyle w:val="13"/>
        <w:spacing w:line="420" w:lineRule="exact"/>
        <w:rPr>
          <w:rFonts w:cs="Times New Roman"/>
        </w:rPr>
      </w:pPr>
      <w:r>
        <w:rPr>
          <w:rFonts w:hint="eastAsia"/>
        </w:rPr>
        <w:t>乙方提供的校园信息化运维服务应达到下列指标要求：</w:t>
      </w:r>
    </w:p>
    <w:p>
      <w:pPr>
        <w:numPr>
          <w:ilvl w:val="0"/>
          <w:numId w:val="26"/>
        </w:numPr>
        <w:adjustRightInd/>
        <w:spacing w:line="420" w:lineRule="exact"/>
        <w:ind w:left="896" w:firstLine="0"/>
        <w:jc w:val="both"/>
        <w:textAlignment w:val="auto"/>
        <w:rPr>
          <w:rFonts w:ascii="宋体"/>
        </w:rPr>
      </w:pPr>
      <w:r>
        <w:rPr>
          <w:rFonts w:hint="eastAsia" w:ascii="宋体" w:hAnsi="宋体" w:cs="宋体"/>
        </w:rPr>
        <w:t>；</w:t>
      </w:r>
    </w:p>
    <w:p>
      <w:pPr>
        <w:numPr>
          <w:ilvl w:val="0"/>
          <w:numId w:val="26"/>
        </w:numPr>
        <w:adjustRightInd/>
        <w:spacing w:line="420" w:lineRule="exact"/>
        <w:ind w:left="896" w:firstLine="0"/>
        <w:jc w:val="both"/>
        <w:textAlignment w:val="auto"/>
        <w:rPr>
          <w:rFonts w:ascii="宋体"/>
        </w:rPr>
      </w:pPr>
      <w:r>
        <w:rPr>
          <w:rFonts w:hint="eastAsia" w:ascii="宋体" w:hAnsi="宋体" w:cs="宋体"/>
        </w:rPr>
        <w:t>；</w:t>
      </w:r>
    </w:p>
    <w:p>
      <w:pPr>
        <w:numPr>
          <w:ilvl w:val="0"/>
          <w:numId w:val="26"/>
        </w:numPr>
        <w:adjustRightInd/>
        <w:spacing w:line="420" w:lineRule="exact"/>
        <w:ind w:left="896" w:firstLine="0"/>
        <w:jc w:val="both"/>
        <w:textAlignment w:val="auto"/>
        <w:rPr>
          <w:rFonts w:ascii="宋体"/>
        </w:rPr>
      </w:pPr>
      <w:r>
        <w:rPr>
          <w:rFonts w:hint="eastAsia" w:ascii="宋体" w:hAnsi="宋体" w:cs="宋体"/>
        </w:rPr>
        <w:t>。</w:t>
      </w:r>
    </w:p>
    <w:p>
      <w:pPr>
        <w:pStyle w:val="13"/>
        <w:widowControl/>
        <w:spacing w:line="420" w:lineRule="exact"/>
        <w:ind w:left="0" w:leftChars="0" w:firstLine="482" w:firstLineChars="200"/>
        <w:rPr>
          <w:rFonts w:cs="Times New Roman"/>
          <w:b/>
          <w:bCs/>
        </w:rPr>
      </w:pPr>
      <w:r>
        <w:rPr>
          <w:rFonts w:hint="eastAsia"/>
          <w:b/>
          <w:bCs/>
        </w:rPr>
        <w:t>（注：请根据具体项目需求详细填写本款内容，也可以附件的形式列明。）</w:t>
      </w:r>
    </w:p>
    <w:p>
      <w:pPr>
        <w:numPr>
          <w:ilvl w:val="2"/>
          <w:numId w:val="25"/>
        </w:numPr>
        <w:adjustRightInd/>
        <w:spacing w:line="420" w:lineRule="exact"/>
        <w:ind w:firstLine="0"/>
        <w:jc w:val="both"/>
        <w:textAlignment w:val="auto"/>
        <w:rPr>
          <w:rFonts w:ascii="宋体"/>
        </w:rPr>
      </w:pPr>
      <w:r>
        <w:rPr>
          <w:rFonts w:hint="eastAsia" w:ascii="宋体" w:hAnsi="宋体" w:cs="宋体"/>
        </w:rPr>
        <w:t>校园信息化运维服务验收</w:t>
      </w:r>
    </w:p>
    <w:p>
      <w:pPr>
        <w:pStyle w:val="13"/>
        <w:spacing w:line="420" w:lineRule="exact"/>
        <w:rPr>
          <w:rFonts w:cs="Times New Roman"/>
        </w:rPr>
      </w:pPr>
      <w:r>
        <w:rPr>
          <w:rFonts w:hint="eastAsia"/>
        </w:rPr>
        <w:t>（</w:t>
      </w:r>
      <w:r>
        <w:t>1</w:t>
      </w:r>
      <w:r>
        <w:rPr>
          <w:rFonts w:hint="eastAsia"/>
        </w:rPr>
        <w:t>）本合同服务期届满后个月内，由甲方聘请专家组成项目评审组对乙方提供的校园信息化运维服务进行质量评审。乙方应在质量评审前，按甲方要求提交年度工作报告及校园信息化运行的相关数据资料。</w:t>
      </w:r>
    </w:p>
    <w:p>
      <w:pPr>
        <w:pStyle w:val="13"/>
        <w:spacing w:line="420" w:lineRule="exact"/>
        <w:rPr>
          <w:rFonts w:cs="Times New Roman"/>
          <w:b/>
          <w:bCs/>
        </w:rPr>
      </w:pPr>
      <w:r>
        <w:rPr>
          <w:rFonts w:hint="eastAsia"/>
        </w:rPr>
        <w:t>（</w:t>
      </w:r>
      <w:r>
        <w:t>2</w:t>
      </w:r>
      <w:r>
        <w:rPr>
          <w:rFonts w:hint="eastAsia"/>
        </w:rPr>
        <w:t>）项目评审时，项目评审组按合同约定对乙方提供的校园信息化运维服务进行评审。乙方项目负责人应对工作情况做出必要说明，并可以对质量评审结论申述意见。评审结束后，双方共同确认项目评审组出具的项目质量评审报告，作为项目验收的凭证。</w:t>
      </w:r>
    </w:p>
    <w:p>
      <w:pPr>
        <w:numPr>
          <w:ilvl w:val="2"/>
          <w:numId w:val="25"/>
        </w:numPr>
        <w:adjustRightInd/>
        <w:spacing w:line="420" w:lineRule="exact"/>
        <w:ind w:firstLine="0"/>
        <w:jc w:val="both"/>
        <w:textAlignment w:val="auto"/>
        <w:rPr>
          <w:rFonts w:ascii="宋体"/>
        </w:rPr>
      </w:pPr>
      <w:r>
        <w:rPr>
          <w:rFonts w:hint="eastAsia" w:ascii="宋体" w:hAnsi="宋体" w:cs="宋体"/>
        </w:rPr>
        <w:t>系统改造服务验收</w:t>
      </w:r>
    </w:p>
    <w:p>
      <w:pPr>
        <w:pStyle w:val="13"/>
        <w:spacing w:line="420" w:lineRule="exact"/>
        <w:rPr>
          <w:rFonts w:cs="Times New Roman"/>
        </w:rPr>
      </w:pPr>
      <w:r>
        <w:rPr>
          <w:rFonts w:hint="eastAsia"/>
        </w:rPr>
        <w:t>乙方按照本合同约定的系统改造服务要求完成系统建设后，应提前日通知甲方进行系统测试。甲方委托的第三方软件测试机构对本项目所有系统进行软件测试和相关系统的安全测试。如系统经测试不符合系统建设要求的，乙方应按照甲方要求予以修改或调整后重新报送测试，并且承担重新进行测试所发生的费用。</w:t>
      </w:r>
    </w:p>
    <w:p>
      <w:pPr>
        <w:pStyle w:val="13"/>
        <w:spacing w:line="420" w:lineRule="exact"/>
        <w:rPr>
          <w:rFonts w:cs="Times New Roman"/>
        </w:rPr>
      </w:pPr>
    </w:p>
    <w:p>
      <w:pPr>
        <w:pStyle w:val="13"/>
        <w:numPr>
          <w:ilvl w:val="0"/>
          <w:numId w:val="16"/>
        </w:numPr>
        <w:tabs>
          <w:tab w:val="left" w:pos="0"/>
          <w:tab w:val="left" w:pos="180"/>
          <w:tab w:val="clear" w:pos="480"/>
        </w:tabs>
        <w:adjustRightInd/>
        <w:spacing w:line="420" w:lineRule="exact"/>
        <w:ind w:left="0" w:leftChars="0" w:firstLine="0"/>
        <w:jc w:val="both"/>
        <w:textAlignment w:val="auto"/>
        <w:rPr>
          <w:rFonts w:cs="Times New Roman"/>
          <w:b/>
          <w:bCs/>
        </w:rPr>
      </w:pPr>
      <w:r>
        <w:rPr>
          <w:rFonts w:hint="eastAsia"/>
          <w:b/>
          <w:bCs/>
        </w:rPr>
        <w:t>保密义务</w:t>
      </w:r>
    </w:p>
    <w:p>
      <w:pPr>
        <w:numPr>
          <w:ilvl w:val="2"/>
          <w:numId w:val="27"/>
        </w:numPr>
        <w:adjustRightInd/>
        <w:spacing w:line="420" w:lineRule="exact"/>
        <w:ind w:firstLine="0"/>
        <w:jc w:val="both"/>
        <w:textAlignment w:val="auto"/>
        <w:rPr>
          <w:rFonts w:ascii="宋体"/>
        </w:rPr>
      </w:pPr>
      <w:r>
        <w:rPr>
          <w:rFonts w:hint="eastAsia" w:ascii="宋体" w:hAnsi="宋体" w:cs="宋体"/>
        </w:rPr>
        <w:t>乙方对其在履行合同过程中所知悉的甲方项目技术秘密和商业秘密承担保密义务。未经甲方书面同意，乙方不得将甲方保密信息透露给任何第三方。</w:t>
      </w:r>
    </w:p>
    <w:p>
      <w:pPr>
        <w:numPr>
          <w:ilvl w:val="2"/>
          <w:numId w:val="27"/>
        </w:numPr>
        <w:adjustRightInd/>
        <w:spacing w:line="420" w:lineRule="exact"/>
        <w:ind w:firstLine="0"/>
        <w:jc w:val="both"/>
        <w:textAlignment w:val="auto"/>
        <w:rPr>
          <w:rFonts w:ascii="宋体"/>
        </w:rPr>
      </w:pPr>
      <w:r>
        <w:rPr>
          <w:rFonts w:hint="eastAsia" w:ascii="宋体" w:hAnsi="宋体" w:cs="宋体"/>
        </w:rPr>
        <w:t>乙方保证对甲方所提供的保密信息予以妥善保存，并承诺仅使用于与完成本合同项下运维服务有关的用途或目的；在缺少相关保密条款约定时，应至少采取适用于对自己的保密信息同样的保护措施和审慎程度进行保密。一经甲方提出要求，乙方应按照甲方的指示在收到甲方的书面通知后日内将收到的含有保密信息的所有文件或其他资料归还甲方。</w:t>
      </w:r>
    </w:p>
    <w:p>
      <w:pPr>
        <w:numPr>
          <w:ilvl w:val="2"/>
          <w:numId w:val="27"/>
        </w:numPr>
        <w:adjustRightInd/>
        <w:spacing w:line="420" w:lineRule="exact"/>
        <w:ind w:firstLine="0"/>
        <w:jc w:val="both"/>
        <w:textAlignment w:val="auto"/>
        <w:rPr>
          <w:rFonts w:ascii="宋体"/>
        </w:rPr>
      </w:pPr>
      <w:r>
        <w:rPr>
          <w:rFonts w:hint="eastAsia" w:ascii="宋体" w:hAnsi="宋体" w:cs="宋体"/>
        </w:rPr>
        <w:t>非经甲方特别授权，甲方向乙方提供的任何保密信息并不包括授予乙方该保密信息包含的任何专利权、商标权、著作权、商业秘密或其它类型的知识产权。</w:t>
      </w:r>
    </w:p>
    <w:p>
      <w:pPr>
        <w:numPr>
          <w:ilvl w:val="2"/>
          <w:numId w:val="27"/>
        </w:numPr>
        <w:adjustRightInd/>
        <w:spacing w:line="420" w:lineRule="exact"/>
        <w:ind w:firstLine="0"/>
        <w:jc w:val="both"/>
        <w:textAlignment w:val="auto"/>
        <w:rPr>
          <w:rFonts w:ascii="宋体"/>
        </w:rPr>
      </w:pPr>
      <w:r>
        <w:rPr>
          <w:rFonts w:hint="eastAsia" w:ascii="宋体" w:hAnsi="宋体" w:cs="宋体"/>
        </w:rPr>
        <w:t>本合同项下约定的保密期限为合同有效期间及合同终止后年。</w:t>
      </w:r>
    </w:p>
    <w:p>
      <w:pPr>
        <w:numPr>
          <w:ilvl w:val="2"/>
          <w:numId w:val="27"/>
        </w:numPr>
        <w:adjustRightInd/>
        <w:spacing w:line="420" w:lineRule="exact"/>
        <w:ind w:firstLine="0"/>
        <w:jc w:val="both"/>
        <w:textAlignment w:val="auto"/>
        <w:rPr>
          <w:rFonts w:ascii="宋体"/>
        </w:rPr>
      </w:pPr>
      <w:r>
        <w:rPr>
          <w:rFonts w:hint="eastAsia" w:ascii="宋体" w:hAnsi="宋体" w:cs="宋体"/>
        </w:rPr>
        <w:t>承担上述保密义务的责任主体为乙方（含乙方工作人员）。如乙方或乙方工作人员违反了上述保密义务，给甲方造成损失的，乙方应向甲方承担全部责任，并赔偿因此给甲方造成的全部损失。</w:t>
      </w:r>
    </w:p>
    <w:p>
      <w:pPr>
        <w:pStyle w:val="13"/>
        <w:spacing w:line="420" w:lineRule="exact"/>
        <w:rPr>
          <w:rFonts w:cs="Times New Roman"/>
        </w:rPr>
      </w:pPr>
    </w:p>
    <w:p>
      <w:pPr>
        <w:pStyle w:val="13"/>
        <w:numPr>
          <w:ilvl w:val="0"/>
          <w:numId w:val="16"/>
        </w:numPr>
        <w:tabs>
          <w:tab w:val="left" w:pos="0"/>
        </w:tabs>
        <w:adjustRightInd/>
        <w:spacing w:line="420" w:lineRule="exact"/>
        <w:ind w:left="0" w:leftChars="0" w:firstLine="0"/>
        <w:jc w:val="both"/>
        <w:textAlignment w:val="auto"/>
        <w:rPr>
          <w:rFonts w:cs="Times New Roman"/>
          <w:b/>
          <w:bCs/>
        </w:rPr>
      </w:pPr>
      <w:r>
        <w:rPr>
          <w:rFonts w:hint="eastAsia"/>
          <w:b/>
          <w:bCs/>
        </w:rPr>
        <w:t>产权归属</w:t>
      </w:r>
    </w:p>
    <w:p>
      <w:pPr>
        <w:pStyle w:val="13"/>
        <w:spacing w:line="420" w:lineRule="exact"/>
        <w:ind w:left="0" w:leftChars="0"/>
        <w:rPr>
          <w:rFonts w:cs="Times New Roman"/>
          <w:b/>
          <w:bCs/>
        </w:rPr>
      </w:pPr>
      <w:r>
        <w:rPr>
          <w:rFonts w:hint="eastAsia"/>
          <w:b/>
          <w:bCs/>
        </w:rPr>
        <w:t>（一）知识产权归属</w:t>
      </w:r>
    </w:p>
    <w:p>
      <w:pPr>
        <w:numPr>
          <w:ilvl w:val="2"/>
          <w:numId w:val="28"/>
        </w:numPr>
        <w:adjustRightInd/>
        <w:spacing w:line="420" w:lineRule="exact"/>
        <w:ind w:firstLine="0"/>
        <w:jc w:val="both"/>
        <w:textAlignment w:val="auto"/>
        <w:rPr>
          <w:rFonts w:ascii="宋体"/>
        </w:rPr>
      </w:pPr>
      <w:r>
        <w:rPr>
          <w:rFonts w:hint="eastAsia" w:ascii="宋体" w:hAnsi="宋体" w:cs="宋体"/>
        </w:rPr>
        <w:t>本项目属政府投入项目范畴，按照《兰州市市人民政府关于加强政府投入项目专利和版权管理工作的意见》的要求，在甲方按照合同约定向乙方支付相应对价后，乙方同意本项目实施过程中所形成的所有技术成果归兰州市市人民政府所有。</w:t>
      </w:r>
    </w:p>
    <w:p>
      <w:pPr>
        <w:numPr>
          <w:ilvl w:val="2"/>
          <w:numId w:val="28"/>
        </w:numPr>
        <w:adjustRightInd/>
        <w:spacing w:line="420" w:lineRule="exact"/>
        <w:ind w:firstLine="0"/>
        <w:jc w:val="both"/>
        <w:textAlignment w:val="auto"/>
        <w:rPr>
          <w:rFonts w:ascii="宋体"/>
        </w:rPr>
      </w:pPr>
      <w:r>
        <w:rPr>
          <w:rFonts w:hint="eastAsia" w:ascii="宋体" w:hAnsi="宋体" w:cs="宋体"/>
        </w:rPr>
        <w:t>乙方保证委托项目成果是其独立实施完成，其使用的开发工具等都有合法授权。乙方保证甲方不会受到任何第三方基于侵犯其专利权、商标权、著作权、商业秘密等的指控和诉讼。如果甲方收到上述指控和诉讼，乙方应当配合甲方积极应诉，并承担因此给甲方造成的全部损失，包括但不限于诉讼仲裁费、律师费、法院或仲裁机构最终裁定的侵权赔偿费用及甲方承担其他侵权责任所造成的经济损失等。</w:t>
      </w:r>
    </w:p>
    <w:p>
      <w:pPr>
        <w:pStyle w:val="13"/>
        <w:spacing w:line="420" w:lineRule="exact"/>
        <w:ind w:left="0" w:leftChars="0"/>
        <w:rPr>
          <w:rFonts w:cs="Times New Roman"/>
          <w:b/>
          <w:bCs/>
        </w:rPr>
      </w:pPr>
      <w:r>
        <w:rPr>
          <w:rFonts w:hint="eastAsia"/>
          <w:b/>
          <w:bCs/>
        </w:rPr>
        <w:t>（二）资产归属</w:t>
      </w:r>
    </w:p>
    <w:p>
      <w:pPr>
        <w:numPr>
          <w:ilvl w:val="2"/>
          <w:numId w:val="29"/>
        </w:numPr>
        <w:adjustRightInd/>
        <w:spacing w:line="420" w:lineRule="exact"/>
        <w:ind w:firstLine="0"/>
        <w:jc w:val="both"/>
        <w:textAlignment w:val="auto"/>
        <w:rPr>
          <w:rFonts w:ascii="宋体"/>
        </w:rPr>
      </w:pPr>
      <w:r>
        <w:rPr>
          <w:rFonts w:hint="eastAsia" w:ascii="宋体" w:hAnsi="宋体" w:cs="宋体"/>
        </w:rPr>
        <w:t>本合同生效后，甲乙双方对甲方原有运维设备资产进行清点登记。经双方确认，具备继续使用条件的资产由甲方授权乙方使用；</w:t>
      </w:r>
    </w:p>
    <w:p>
      <w:pPr>
        <w:numPr>
          <w:ilvl w:val="2"/>
          <w:numId w:val="29"/>
        </w:numPr>
        <w:adjustRightInd/>
        <w:spacing w:line="420" w:lineRule="exact"/>
        <w:ind w:firstLine="0"/>
        <w:jc w:val="both"/>
        <w:textAlignment w:val="auto"/>
        <w:rPr>
          <w:rFonts w:ascii="宋体"/>
          <w:b/>
          <w:bCs/>
        </w:rPr>
      </w:pPr>
      <w:r>
        <w:rPr>
          <w:rFonts w:hint="eastAsia" w:ascii="宋体" w:hAnsi="宋体" w:cs="宋体"/>
        </w:rPr>
        <w:t>在合同期内按甲方需求新增软硬件资产由乙方提供，甲方采取租用方式支付相应费用；乙方为该项目投入的专属资产，在合同期满后，甲方按资产余值（资产原值</w:t>
      </w:r>
      <w:r>
        <w:rPr>
          <w:rFonts w:ascii="宋体" w:cs="宋体"/>
        </w:rPr>
        <w:t>-</w:t>
      </w:r>
      <w:r>
        <w:rPr>
          <w:rFonts w:hint="eastAsia" w:ascii="宋体" w:hAnsi="宋体" w:cs="宋体"/>
        </w:rPr>
        <w:t>已计提折旧或摊销价值）受让相关资产，或负责协调乙方将相关资产直接转让给新的运维服务提供商，并将对价支付给乙方。</w:t>
      </w:r>
    </w:p>
    <w:p>
      <w:pPr>
        <w:pStyle w:val="13"/>
        <w:numPr>
          <w:ilvl w:val="0"/>
          <w:numId w:val="16"/>
        </w:numPr>
        <w:tabs>
          <w:tab w:val="left" w:pos="0"/>
        </w:tabs>
        <w:adjustRightInd/>
        <w:spacing w:line="420" w:lineRule="exact"/>
        <w:ind w:left="0" w:leftChars="0" w:firstLine="0"/>
        <w:jc w:val="both"/>
        <w:textAlignment w:val="auto"/>
        <w:rPr>
          <w:rFonts w:cs="Times New Roman"/>
          <w:b/>
          <w:bCs/>
        </w:rPr>
      </w:pPr>
      <w:r>
        <w:rPr>
          <w:rFonts w:hint="eastAsia"/>
          <w:b/>
          <w:bCs/>
        </w:rPr>
        <w:t>违约责任</w:t>
      </w:r>
    </w:p>
    <w:p>
      <w:pPr>
        <w:numPr>
          <w:ilvl w:val="2"/>
          <w:numId w:val="30"/>
        </w:numPr>
        <w:tabs>
          <w:tab w:val="left" w:pos="900"/>
        </w:tabs>
        <w:adjustRightInd/>
        <w:spacing w:line="420" w:lineRule="exact"/>
        <w:ind w:firstLine="0"/>
        <w:jc w:val="both"/>
        <w:textAlignment w:val="auto"/>
        <w:rPr>
          <w:rFonts w:ascii="宋体"/>
        </w:rPr>
      </w:pPr>
      <w:r>
        <w:rPr>
          <w:rFonts w:hint="eastAsia" w:ascii="宋体" w:hAnsi="宋体" w:cs="宋体"/>
        </w:rPr>
        <w:t>甲乙双方均应全面履行本合同，任何一方不履行或不按约定履行均构成违约，违约方应赔偿因此给对方造成的损失。损失赔偿金额为守约方因对方违约而造成的全部直接经济损失和按此合同可获得的经济利益，但此全部赔偿金额不得高于违约方应当预见的因违反合同可能给对方造成的经济损失。</w:t>
      </w:r>
    </w:p>
    <w:p>
      <w:pPr>
        <w:numPr>
          <w:ilvl w:val="2"/>
          <w:numId w:val="30"/>
        </w:numPr>
        <w:tabs>
          <w:tab w:val="left" w:pos="900"/>
        </w:tabs>
        <w:adjustRightInd/>
        <w:spacing w:line="420" w:lineRule="exact"/>
        <w:ind w:firstLine="0"/>
        <w:jc w:val="both"/>
        <w:textAlignment w:val="auto"/>
        <w:rPr>
          <w:rFonts w:ascii="宋体"/>
        </w:rPr>
      </w:pPr>
      <w:r>
        <w:rPr>
          <w:rFonts w:hint="eastAsia" w:ascii="宋体" w:hAnsi="宋体" w:cs="宋体"/>
        </w:rPr>
        <w:t>甲方迟延支付运维服务费的，每延期一日，应向乙方支付拖欠款项</w:t>
      </w:r>
      <w:r>
        <w:rPr>
          <w:rFonts w:ascii="宋体" w:hAnsi="宋体" w:cs="宋体"/>
        </w:rPr>
        <w:t>%</w:t>
      </w:r>
      <w:r>
        <w:rPr>
          <w:rFonts w:hint="eastAsia" w:ascii="宋体" w:hAnsi="宋体" w:cs="宋体"/>
        </w:rPr>
        <w:t>的违约金。</w:t>
      </w:r>
    </w:p>
    <w:p>
      <w:pPr>
        <w:numPr>
          <w:ilvl w:val="2"/>
          <w:numId w:val="30"/>
        </w:numPr>
        <w:tabs>
          <w:tab w:val="left" w:pos="900"/>
        </w:tabs>
        <w:adjustRightInd/>
        <w:spacing w:line="420" w:lineRule="exact"/>
        <w:ind w:firstLine="0"/>
        <w:jc w:val="both"/>
        <w:textAlignment w:val="auto"/>
        <w:rPr>
          <w:rFonts w:ascii="宋体"/>
        </w:rPr>
      </w:pPr>
      <w:r>
        <w:rPr>
          <w:rFonts w:hint="eastAsia" w:ascii="宋体" w:hAnsi="宋体" w:cs="宋体"/>
        </w:rPr>
        <w:t>乙方应在本合同期限内按照本合同约定向甲方提供运维服务。如因乙方原因造成服务延迟，甲方有权要求乙方作出补偿和采取补救措施，并继续履行本合同所规定的义务。</w:t>
      </w:r>
    </w:p>
    <w:p>
      <w:pPr>
        <w:numPr>
          <w:ilvl w:val="2"/>
          <w:numId w:val="30"/>
        </w:numPr>
        <w:tabs>
          <w:tab w:val="left" w:pos="900"/>
        </w:tabs>
        <w:adjustRightInd/>
        <w:spacing w:line="420" w:lineRule="exact"/>
        <w:ind w:firstLine="0"/>
        <w:jc w:val="both"/>
        <w:textAlignment w:val="auto"/>
        <w:rPr>
          <w:rFonts w:ascii="宋体"/>
        </w:rPr>
      </w:pPr>
      <w:r>
        <w:rPr>
          <w:rFonts w:hint="eastAsia" w:ascii="宋体" w:hAnsi="宋体" w:cs="宋体"/>
        </w:rPr>
        <w:t>乙方未尽日常维护义务或维护不当造成系统运行障碍的，由乙方负责排除，并承担由此造成的损失和产生的附加成本。</w:t>
      </w:r>
    </w:p>
    <w:p>
      <w:pPr>
        <w:numPr>
          <w:ilvl w:val="2"/>
          <w:numId w:val="30"/>
        </w:numPr>
        <w:tabs>
          <w:tab w:val="left" w:pos="900"/>
        </w:tabs>
        <w:adjustRightInd/>
        <w:spacing w:line="420" w:lineRule="exact"/>
        <w:ind w:firstLine="0"/>
        <w:jc w:val="both"/>
        <w:textAlignment w:val="auto"/>
        <w:rPr>
          <w:rFonts w:ascii="宋体"/>
        </w:rPr>
      </w:pPr>
      <w:r>
        <w:rPr>
          <w:rFonts w:hint="eastAsia" w:ascii="宋体" w:hAnsi="宋体" w:cs="宋体"/>
        </w:rPr>
        <w:t>乙方在提供运维服务过程中，若出现长时间断网（因电信运营商原因故障除外）或系统安全事故造成不良影响等服务质量问题，甲方有权酌情核减运维服务费用，核减的标准按重大事故、严重事故和一般事故区分，一次断网</w:t>
      </w:r>
      <w:r>
        <w:rPr>
          <w:rFonts w:ascii="宋体" w:hAnsi="宋体" w:cs="宋体"/>
        </w:rPr>
        <w:t>30</w:t>
      </w:r>
      <w:r>
        <w:rPr>
          <w:rFonts w:hint="eastAsia" w:ascii="宋体" w:hAnsi="宋体" w:cs="宋体"/>
        </w:rPr>
        <w:t>分钟以上为重大事故，</w:t>
      </w:r>
      <w:r>
        <w:rPr>
          <w:rFonts w:ascii="宋体" w:hAnsi="宋体" w:cs="宋体"/>
        </w:rPr>
        <w:t>15——30</w:t>
      </w:r>
      <w:r>
        <w:rPr>
          <w:rFonts w:hint="eastAsia" w:ascii="宋体" w:hAnsi="宋体" w:cs="宋体"/>
        </w:rPr>
        <w:t>分钟为严重事故，一次断网</w:t>
      </w:r>
      <w:r>
        <w:rPr>
          <w:rFonts w:ascii="宋体" w:hAnsi="宋体" w:cs="宋体"/>
        </w:rPr>
        <w:t>15</w:t>
      </w:r>
      <w:r>
        <w:rPr>
          <w:rFonts w:hint="eastAsia" w:ascii="宋体" w:hAnsi="宋体" w:cs="宋体"/>
        </w:rPr>
        <w:t>分钟以下为一般事故。重大事故每发生一次将扣除本合同项下运维服务费总额的％。严重事故每发生一次将扣除本合同项下运维服务费总额的％。一般事故将纳入年度考核之中，年度累计断网总时间超过</w:t>
      </w:r>
      <w:r>
        <w:rPr>
          <w:rFonts w:ascii="宋体" w:hAnsi="宋体" w:cs="宋体"/>
        </w:rPr>
        <w:t>30</w:t>
      </w:r>
      <w:r>
        <w:rPr>
          <w:rFonts w:hint="eastAsia" w:ascii="宋体" w:hAnsi="宋体" w:cs="宋体"/>
        </w:rPr>
        <w:t>分钟按重大事故处理，年度累计断网超过</w:t>
      </w:r>
      <w:r>
        <w:rPr>
          <w:rFonts w:ascii="宋体" w:hAnsi="宋体" w:cs="宋体"/>
        </w:rPr>
        <w:t>15</w:t>
      </w:r>
      <w:r>
        <w:rPr>
          <w:rFonts w:hint="eastAsia" w:ascii="宋体" w:hAnsi="宋体" w:cs="宋体"/>
        </w:rPr>
        <w:t>分钟不足</w:t>
      </w:r>
      <w:r>
        <w:rPr>
          <w:rFonts w:ascii="宋体" w:hAnsi="宋体" w:cs="宋体"/>
        </w:rPr>
        <w:t>30</w:t>
      </w:r>
      <w:r>
        <w:rPr>
          <w:rFonts w:hint="eastAsia" w:ascii="宋体" w:hAnsi="宋体" w:cs="宋体"/>
        </w:rPr>
        <w:t>分钟按严重事故处理。</w:t>
      </w:r>
    </w:p>
    <w:p>
      <w:pPr>
        <w:numPr>
          <w:ilvl w:val="2"/>
          <w:numId w:val="30"/>
        </w:numPr>
        <w:tabs>
          <w:tab w:val="left" w:pos="900"/>
        </w:tabs>
        <w:adjustRightInd/>
        <w:spacing w:line="420" w:lineRule="exact"/>
        <w:ind w:firstLine="0"/>
        <w:jc w:val="both"/>
        <w:textAlignment w:val="auto"/>
        <w:rPr>
          <w:rFonts w:ascii="宋体"/>
        </w:rPr>
      </w:pPr>
      <w:r>
        <w:rPr>
          <w:rFonts w:hint="eastAsia" w:ascii="宋体" w:hAnsi="宋体" w:cs="宋体"/>
        </w:rPr>
        <w:t>乙方提供的运维服务经甲方年度考核不合格的，按照考核管理办法的相关规定执行。</w:t>
      </w:r>
    </w:p>
    <w:p>
      <w:pPr>
        <w:numPr>
          <w:ilvl w:val="2"/>
          <w:numId w:val="30"/>
        </w:numPr>
        <w:tabs>
          <w:tab w:val="left" w:pos="900"/>
        </w:tabs>
        <w:adjustRightInd/>
        <w:spacing w:line="420" w:lineRule="exact"/>
        <w:ind w:firstLine="0"/>
        <w:jc w:val="both"/>
        <w:textAlignment w:val="auto"/>
        <w:rPr>
          <w:rFonts w:ascii="宋体"/>
        </w:rPr>
      </w:pPr>
      <w:r>
        <w:rPr>
          <w:rFonts w:hint="eastAsia" w:ascii="宋体" w:hAnsi="宋体" w:cs="宋体"/>
        </w:rPr>
        <w:t>乙方如违反本合同约定的保密义务，应当采取有效措施防止保密信息泄密范围的进一步扩大，同时乙方应向甲方支付违约金人民币</w:t>
      </w:r>
      <w:r>
        <w:rPr>
          <w:rFonts w:ascii="宋体" w:hAnsi="宋体" w:cs="宋体"/>
        </w:rPr>
        <w:t>______</w:t>
      </w:r>
      <w:r>
        <w:rPr>
          <w:rFonts w:hint="eastAsia" w:ascii="宋体" w:hAnsi="宋体" w:cs="宋体"/>
        </w:rPr>
        <w:t>元并赔偿因此给甲方造成的全部损失。</w:t>
      </w:r>
    </w:p>
    <w:p>
      <w:pPr>
        <w:pStyle w:val="13"/>
        <w:spacing w:line="420" w:lineRule="exact"/>
        <w:rPr>
          <w:rFonts w:cs="Times New Roman"/>
        </w:rPr>
      </w:pPr>
    </w:p>
    <w:p>
      <w:pPr>
        <w:pStyle w:val="13"/>
        <w:numPr>
          <w:ilvl w:val="0"/>
          <w:numId w:val="16"/>
        </w:numPr>
        <w:tabs>
          <w:tab w:val="left" w:pos="0"/>
        </w:tabs>
        <w:adjustRightInd/>
        <w:spacing w:line="420" w:lineRule="exact"/>
        <w:ind w:left="0" w:leftChars="0" w:firstLine="0"/>
        <w:jc w:val="both"/>
        <w:textAlignment w:val="auto"/>
        <w:rPr>
          <w:rFonts w:cs="Times New Roman"/>
          <w:b/>
          <w:bCs/>
        </w:rPr>
      </w:pPr>
      <w:r>
        <w:rPr>
          <w:rFonts w:hint="eastAsia"/>
          <w:b/>
          <w:bCs/>
        </w:rPr>
        <w:t>争议的解决</w:t>
      </w:r>
    </w:p>
    <w:p>
      <w:pPr>
        <w:snapToGrid w:val="0"/>
        <w:spacing w:line="420" w:lineRule="exact"/>
        <w:ind w:firstLine="480" w:firstLineChars="200"/>
        <w:rPr>
          <w:rFonts w:ascii="宋体"/>
        </w:rPr>
      </w:pPr>
      <w:r>
        <w:rPr>
          <w:rFonts w:hint="eastAsia" w:ascii="宋体" w:hAnsi="宋体" w:cs="宋体"/>
        </w:rPr>
        <w:t>因履行合同所发生的一切争议，双方应友好协商解决，协商不成的，按下列第种方式解决：</w:t>
      </w:r>
    </w:p>
    <w:p>
      <w:pPr>
        <w:numPr>
          <w:ilvl w:val="2"/>
          <w:numId w:val="31"/>
        </w:numPr>
        <w:adjustRightInd/>
        <w:spacing w:line="420" w:lineRule="exact"/>
        <w:ind w:firstLine="0"/>
        <w:jc w:val="both"/>
        <w:textAlignment w:val="auto"/>
        <w:rPr>
          <w:rFonts w:ascii="宋体"/>
        </w:rPr>
      </w:pPr>
      <w:r>
        <w:rPr>
          <w:rFonts w:hint="eastAsia" w:ascii="宋体" w:hAnsi="宋体" w:cs="宋体"/>
        </w:rPr>
        <w:t>提交仲裁委员会仲裁，仲裁裁决为终局裁决；</w:t>
      </w:r>
    </w:p>
    <w:p>
      <w:pPr>
        <w:numPr>
          <w:ilvl w:val="2"/>
          <w:numId w:val="31"/>
        </w:numPr>
        <w:adjustRightInd/>
        <w:spacing w:line="420" w:lineRule="exact"/>
        <w:ind w:firstLine="0"/>
        <w:jc w:val="both"/>
        <w:textAlignment w:val="auto"/>
        <w:rPr>
          <w:rFonts w:ascii="宋体"/>
        </w:rPr>
      </w:pPr>
      <w:r>
        <w:rPr>
          <w:rFonts w:hint="eastAsia" w:ascii="宋体" w:hAnsi="宋体" w:cs="宋体"/>
        </w:rPr>
        <w:t>依法向人民法院起诉。</w:t>
      </w:r>
    </w:p>
    <w:p>
      <w:pPr>
        <w:pStyle w:val="13"/>
        <w:spacing w:line="420" w:lineRule="exact"/>
        <w:ind w:left="0" w:leftChars="0"/>
        <w:rPr>
          <w:rFonts w:cs="Times New Roman"/>
          <w:b/>
          <w:bCs/>
        </w:rPr>
      </w:pPr>
    </w:p>
    <w:p>
      <w:pPr>
        <w:pStyle w:val="13"/>
        <w:numPr>
          <w:ilvl w:val="0"/>
          <w:numId w:val="16"/>
        </w:numPr>
        <w:tabs>
          <w:tab w:val="left" w:pos="0"/>
        </w:tabs>
        <w:adjustRightInd/>
        <w:spacing w:line="420" w:lineRule="exact"/>
        <w:ind w:left="0" w:leftChars="0" w:firstLine="0"/>
        <w:jc w:val="both"/>
        <w:textAlignment w:val="auto"/>
        <w:rPr>
          <w:rFonts w:cs="Times New Roman"/>
          <w:b/>
          <w:bCs/>
        </w:rPr>
      </w:pPr>
      <w:r>
        <w:rPr>
          <w:rFonts w:hint="eastAsia"/>
          <w:b/>
          <w:bCs/>
        </w:rPr>
        <w:t>廉政承诺</w:t>
      </w:r>
    </w:p>
    <w:p>
      <w:pPr>
        <w:spacing w:line="420" w:lineRule="exact"/>
        <w:ind w:left="23"/>
        <w:rPr>
          <w:rFonts w:ascii="宋体"/>
        </w:rPr>
      </w:pPr>
      <w:r>
        <w:rPr>
          <w:rFonts w:hint="eastAsia" w:ascii="宋体" w:hAnsi="宋体" w:cs="宋体"/>
        </w:rPr>
        <w:t>合同双方承诺共同加强廉洁自律、反对商业贿赂。</w:t>
      </w:r>
    </w:p>
    <w:p>
      <w:pPr>
        <w:spacing w:line="420" w:lineRule="exact"/>
        <w:ind w:left="23"/>
        <w:rPr>
          <w:rFonts w:ascii="宋体"/>
        </w:rPr>
      </w:pPr>
    </w:p>
    <w:p>
      <w:pPr>
        <w:pStyle w:val="13"/>
        <w:numPr>
          <w:ilvl w:val="0"/>
          <w:numId w:val="16"/>
        </w:numPr>
        <w:tabs>
          <w:tab w:val="left" w:pos="0"/>
        </w:tabs>
        <w:adjustRightInd/>
        <w:spacing w:line="420" w:lineRule="exact"/>
        <w:ind w:left="0" w:leftChars="0" w:firstLine="0"/>
        <w:jc w:val="both"/>
        <w:textAlignment w:val="auto"/>
        <w:rPr>
          <w:rFonts w:cs="Times New Roman"/>
          <w:b/>
          <w:bCs/>
        </w:rPr>
      </w:pPr>
      <w:r>
        <w:rPr>
          <w:rFonts w:hint="eastAsia"/>
          <w:b/>
          <w:bCs/>
        </w:rPr>
        <w:t>其他</w:t>
      </w:r>
    </w:p>
    <w:p>
      <w:pPr>
        <w:numPr>
          <w:ilvl w:val="2"/>
          <w:numId w:val="32"/>
        </w:numPr>
        <w:adjustRightInd/>
        <w:spacing w:line="420" w:lineRule="exact"/>
        <w:ind w:firstLine="0"/>
        <w:jc w:val="both"/>
        <w:textAlignment w:val="auto"/>
        <w:rPr>
          <w:rFonts w:ascii="宋体"/>
        </w:rPr>
      </w:pPr>
      <w:r>
        <w:rPr>
          <w:rFonts w:hint="eastAsia" w:ascii="宋体" w:hAnsi="宋体" w:cs="宋体"/>
        </w:rPr>
        <w:t>本合同自双方签字盖章之日起生效。</w:t>
      </w:r>
    </w:p>
    <w:p>
      <w:pPr>
        <w:numPr>
          <w:ilvl w:val="2"/>
          <w:numId w:val="32"/>
        </w:numPr>
        <w:adjustRightInd/>
        <w:spacing w:line="420" w:lineRule="exact"/>
        <w:ind w:firstLine="0"/>
        <w:jc w:val="both"/>
        <w:textAlignment w:val="auto"/>
        <w:rPr>
          <w:rFonts w:ascii="宋体"/>
        </w:rPr>
      </w:pPr>
      <w:r>
        <w:rPr>
          <w:rFonts w:hint="eastAsia" w:ascii="宋体" w:hAnsi="宋体" w:cs="宋体"/>
        </w:rPr>
        <w:t>未尽事宜，经双方协商一致，签订补充合同，补充合同与本合同不一致或相冲突的内容，以补充合同为准。</w:t>
      </w:r>
    </w:p>
    <w:p>
      <w:pPr>
        <w:numPr>
          <w:ilvl w:val="2"/>
          <w:numId w:val="32"/>
        </w:numPr>
        <w:adjustRightInd/>
        <w:spacing w:line="420" w:lineRule="exact"/>
        <w:ind w:firstLine="0"/>
        <w:jc w:val="both"/>
        <w:textAlignment w:val="auto"/>
        <w:rPr>
          <w:rFonts w:ascii="宋体"/>
        </w:rPr>
      </w:pPr>
      <w:r>
        <w:rPr>
          <w:rFonts w:hint="eastAsia" w:ascii="宋体" w:hAnsi="宋体" w:cs="宋体"/>
        </w:rPr>
        <w:t>本合同附件是本合同的重要组成部分，与本合同正文具有同等法律效力，双方均应遵照执行。</w:t>
      </w:r>
    </w:p>
    <w:p>
      <w:pPr>
        <w:numPr>
          <w:ilvl w:val="2"/>
          <w:numId w:val="32"/>
        </w:numPr>
        <w:adjustRightInd/>
        <w:spacing w:line="420" w:lineRule="exact"/>
        <w:ind w:firstLine="0"/>
        <w:jc w:val="both"/>
        <w:textAlignment w:val="auto"/>
        <w:rPr>
          <w:rFonts w:ascii="宋体"/>
        </w:rPr>
      </w:pPr>
      <w:r>
        <w:rPr>
          <w:rFonts w:hint="eastAsia" w:ascii="宋体" w:hAnsi="宋体" w:cs="宋体"/>
        </w:rPr>
        <w:t>本合同一式份，甲、乙双方各执份，具有同等法律效力。</w:t>
      </w:r>
    </w:p>
    <w:p>
      <w:pPr>
        <w:pStyle w:val="13"/>
        <w:tabs>
          <w:tab w:val="left" w:pos="4200"/>
        </w:tabs>
        <w:spacing w:line="420" w:lineRule="exact"/>
        <w:rPr>
          <w:rFonts w:cs="Times New Roman"/>
        </w:rPr>
      </w:pPr>
      <w:r>
        <w:rPr>
          <w:rFonts w:hint="eastAsia"/>
        </w:rPr>
        <w:t>（以下无正文）</w:t>
      </w:r>
    </w:p>
    <w:p>
      <w:pPr>
        <w:pStyle w:val="13"/>
        <w:tabs>
          <w:tab w:val="left" w:pos="4200"/>
        </w:tabs>
        <w:spacing w:line="420" w:lineRule="exact"/>
        <w:rPr>
          <w:rFonts w:cs="Times New Roman"/>
        </w:rPr>
      </w:pPr>
    </w:p>
    <w:p>
      <w:pPr>
        <w:snapToGrid w:val="0"/>
        <w:spacing w:line="420" w:lineRule="exact"/>
        <w:rPr>
          <w:rFonts w:ascii="宋体"/>
        </w:rPr>
      </w:pPr>
      <w:r>
        <w:rPr>
          <w:rFonts w:hint="eastAsia" w:ascii="宋体" w:hAnsi="宋体" w:cs="宋体"/>
        </w:rPr>
        <w:t>甲方（盖章）：</w:t>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hint="eastAsia" w:ascii="宋体" w:hAnsi="宋体" w:cs="宋体"/>
        </w:rPr>
        <w:t>乙方（盖章）：</w:t>
      </w:r>
    </w:p>
    <w:p>
      <w:pPr>
        <w:snapToGrid w:val="0"/>
        <w:spacing w:line="420" w:lineRule="exact"/>
        <w:rPr>
          <w:rFonts w:ascii="宋体"/>
        </w:rPr>
      </w:pPr>
    </w:p>
    <w:p>
      <w:pPr>
        <w:snapToGrid w:val="0"/>
        <w:spacing w:line="420" w:lineRule="exact"/>
        <w:rPr>
          <w:rFonts w:ascii="宋体"/>
        </w:rPr>
      </w:pPr>
      <w:r>
        <w:rPr>
          <w:rFonts w:hint="eastAsia" w:ascii="宋体" w:hAnsi="宋体" w:cs="宋体"/>
        </w:rPr>
        <w:t>法定代表人（签字）：</w:t>
      </w:r>
      <w:r>
        <w:rPr>
          <w:rFonts w:ascii="宋体"/>
        </w:rPr>
        <w:tab/>
      </w:r>
      <w:r>
        <w:rPr>
          <w:rFonts w:ascii="宋体"/>
        </w:rPr>
        <w:tab/>
      </w:r>
      <w:r>
        <w:rPr>
          <w:rFonts w:ascii="宋体"/>
        </w:rPr>
        <w:tab/>
      </w:r>
      <w:r>
        <w:rPr>
          <w:rFonts w:ascii="宋体"/>
        </w:rPr>
        <w:tab/>
      </w:r>
      <w:r>
        <w:rPr>
          <w:rFonts w:ascii="宋体"/>
        </w:rPr>
        <w:tab/>
      </w:r>
      <w:r>
        <w:rPr>
          <w:rFonts w:ascii="宋体"/>
        </w:rPr>
        <w:tab/>
      </w:r>
      <w:r>
        <w:rPr>
          <w:rFonts w:hint="eastAsia" w:ascii="宋体" w:hAnsi="宋体" w:cs="宋体"/>
        </w:rPr>
        <w:t>法定代表人（签字）：</w:t>
      </w:r>
    </w:p>
    <w:p>
      <w:pPr>
        <w:snapToGrid w:val="0"/>
        <w:spacing w:line="420" w:lineRule="exact"/>
        <w:rPr>
          <w:rFonts w:ascii="宋体"/>
        </w:rPr>
      </w:pPr>
      <w:r>
        <w:rPr>
          <w:rFonts w:hint="eastAsia" w:ascii="宋体" w:hAnsi="宋体" w:cs="宋体"/>
        </w:rPr>
        <w:t>委托代理人（签字）：</w:t>
      </w:r>
      <w:r>
        <w:rPr>
          <w:rFonts w:ascii="宋体"/>
        </w:rPr>
        <w:tab/>
      </w:r>
      <w:r>
        <w:rPr>
          <w:rFonts w:ascii="宋体"/>
        </w:rPr>
        <w:tab/>
      </w:r>
      <w:r>
        <w:rPr>
          <w:rFonts w:ascii="宋体"/>
        </w:rPr>
        <w:tab/>
      </w:r>
      <w:r>
        <w:rPr>
          <w:rFonts w:ascii="宋体"/>
        </w:rPr>
        <w:tab/>
      </w:r>
      <w:r>
        <w:rPr>
          <w:rFonts w:ascii="宋体"/>
        </w:rPr>
        <w:tab/>
      </w:r>
      <w:r>
        <w:rPr>
          <w:rFonts w:ascii="宋体"/>
        </w:rPr>
        <w:tab/>
      </w:r>
      <w:r>
        <w:rPr>
          <w:rFonts w:hint="eastAsia" w:ascii="宋体" w:hAnsi="宋体" w:cs="宋体"/>
        </w:rPr>
        <w:t>委托代理人（签字）：</w:t>
      </w:r>
    </w:p>
    <w:p>
      <w:pPr>
        <w:snapToGrid w:val="0"/>
        <w:spacing w:line="420" w:lineRule="exact"/>
        <w:rPr>
          <w:rFonts w:ascii="宋体"/>
        </w:rPr>
      </w:pPr>
      <w:r>
        <w:rPr>
          <w:rFonts w:hint="eastAsia" w:ascii="宋体" w:hAnsi="宋体" w:cs="宋体"/>
        </w:rPr>
        <w:t>住所：</w:t>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hint="eastAsia" w:ascii="宋体" w:hAnsi="宋体" w:cs="宋体"/>
        </w:rPr>
        <w:t>住所：</w:t>
      </w:r>
    </w:p>
    <w:p>
      <w:pPr>
        <w:snapToGrid w:val="0"/>
        <w:spacing w:line="420" w:lineRule="exact"/>
        <w:rPr>
          <w:rFonts w:ascii="宋体"/>
        </w:rPr>
      </w:pPr>
      <w:r>
        <w:rPr>
          <w:rFonts w:hint="eastAsia" w:ascii="宋体" w:hAnsi="宋体" w:cs="宋体"/>
        </w:rPr>
        <w:t>邮编：</w:t>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hint="eastAsia" w:ascii="宋体" w:hAnsi="宋体" w:cs="宋体"/>
        </w:rPr>
        <w:t>邮编：</w:t>
      </w:r>
    </w:p>
    <w:p>
      <w:pPr>
        <w:snapToGrid w:val="0"/>
        <w:spacing w:line="420" w:lineRule="exact"/>
        <w:rPr>
          <w:rFonts w:ascii="宋体"/>
        </w:rPr>
      </w:pPr>
      <w:r>
        <w:rPr>
          <w:rFonts w:hint="eastAsia" w:ascii="宋体" w:hAnsi="宋体" w:cs="宋体"/>
        </w:rPr>
        <w:t>电话：</w:t>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hint="eastAsia" w:ascii="宋体" w:hAnsi="宋体" w:cs="宋体"/>
        </w:rPr>
        <w:t>电话：</w:t>
      </w:r>
    </w:p>
    <w:p>
      <w:pPr>
        <w:snapToGrid w:val="0"/>
        <w:spacing w:line="420" w:lineRule="exact"/>
        <w:rPr>
          <w:rFonts w:ascii="宋体"/>
        </w:rPr>
      </w:pPr>
      <w:r>
        <w:rPr>
          <w:rFonts w:hint="eastAsia" w:ascii="宋体" w:hAnsi="宋体" w:cs="宋体"/>
        </w:rPr>
        <w:t>传真：</w:t>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hint="eastAsia" w:ascii="宋体" w:hAnsi="宋体" w:cs="宋体"/>
        </w:rPr>
        <w:t>传真：</w:t>
      </w:r>
    </w:p>
    <w:p>
      <w:pPr>
        <w:snapToGrid w:val="0"/>
        <w:spacing w:line="420" w:lineRule="exact"/>
        <w:rPr>
          <w:rFonts w:ascii="宋体"/>
        </w:rPr>
      </w:pPr>
      <w:r>
        <w:rPr>
          <w:rFonts w:hint="eastAsia" w:ascii="宋体" w:hAnsi="宋体" w:cs="宋体"/>
        </w:rPr>
        <w:t>开户银行：</w:t>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hint="eastAsia" w:ascii="宋体" w:hAnsi="宋体" w:cs="宋体"/>
        </w:rPr>
        <w:t>开户银行：</w:t>
      </w:r>
    </w:p>
    <w:p>
      <w:pPr>
        <w:snapToGrid w:val="0"/>
        <w:spacing w:line="420" w:lineRule="exact"/>
        <w:rPr>
          <w:rFonts w:ascii="宋体"/>
        </w:rPr>
      </w:pPr>
      <w:r>
        <w:rPr>
          <w:rFonts w:hint="eastAsia" w:ascii="宋体" w:hAnsi="宋体" w:cs="宋体"/>
        </w:rPr>
        <w:t>银行帐号：</w:t>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hint="eastAsia" w:ascii="宋体" w:hAnsi="宋体" w:cs="宋体"/>
        </w:rPr>
        <w:t>银行帐号：</w:t>
      </w:r>
    </w:p>
    <w:p>
      <w:pPr>
        <w:snapToGrid w:val="0"/>
        <w:spacing w:line="420" w:lineRule="exact"/>
        <w:rPr>
          <w:rFonts w:ascii="宋体"/>
        </w:rPr>
      </w:pPr>
      <w:r>
        <w:rPr>
          <w:rFonts w:hint="eastAsia" w:ascii="宋体" w:hAnsi="宋体" w:cs="宋体"/>
        </w:rPr>
        <w:t>签订日期：</w:t>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hint="eastAsia" w:ascii="宋体" w:hAnsi="宋体" w:cs="宋体"/>
        </w:rPr>
        <w:t>签订日期：</w:t>
      </w:r>
    </w:p>
    <w:p>
      <w:pPr>
        <w:snapToGrid w:val="0"/>
        <w:spacing w:line="420" w:lineRule="exact"/>
        <w:rPr>
          <w:rFonts w:ascii="宋体"/>
        </w:rPr>
      </w:pPr>
      <w:r>
        <w:rPr>
          <w:rFonts w:hint="eastAsia" w:ascii="宋体" w:hAnsi="宋体" w:cs="宋体"/>
        </w:rPr>
        <w:t>签订地点：</w:t>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ascii="宋体"/>
        </w:rPr>
        <w:tab/>
      </w:r>
      <w:r>
        <w:rPr>
          <w:rFonts w:hint="eastAsia" w:ascii="宋体" w:hAnsi="宋体" w:cs="宋体"/>
        </w:rPr>
        <w:t>签订地点：</w:t>
      </w:r>
    </w:p>
    <w:p>
      <w:pPr>
        <w:spacing w:line="360" w:lineRule="auto"/>
        <w:rPr>
          <w:rFonts w:ascii="宋体"/>
        </w:rPr>
      </w:pPr>
    </w:p>
    <w:p>
      <w:pPr>
        <w:snapToGrid w:val="0"/>
        <w:spacing w:line="360" w:lineRule="auto"/>
        <w:ind w:left="2940" w:firstLine="420"/>
        <w:rPr>
          <w:rFonts w:ascii="Verdana" w:hAnsi="Verdana" w:cs="Verdana"/>
          <w:b/>
          <w:bCs/>
        </w:rPr>
      </w:pPr>
      <w:bookmarkStart w:id="68" w:name="_Toc414523503"/>
      <w:bookmarkStart w:id="69" w:name="_Toc146597884"/>
      <w:bookmarkStart w:id="70" w:name="_Toc414523504"/>
      <w:bookmarkStart w:id="71" w:name="_Toc393092563"/>
      <w:r>
        <w:rPr>
          <w:rFonts w:ascii="Verdana" w:hAnsi="Verdana" w:cs="Verdana"/>
          <w:b/>
          <w:bCs/>
        </w:rPr>
        <w:br w:type="page"/>
      </w:r>
    </w:p>
    <w:p>
      <w:pPr>
        <w:pStyle w:val="2"/>
        <w:numPr>
          <w:ilvl w:val="0"/>
          <w:numId w:val="0"/>
        </w:numPr>
        <w:spacing w:before="0" w:after="0" w:line="360" w:lineRule="auto"/>
        <w:jc w:val="center"/>
        <w:rPr>
          <w:rFonts w:ascii="宋体"/>
          <w:sz w:val="32"/>
          <w:szCs w:val="32"/>
        </w:rPr>
      </w:pPr>
      <w:bookmarkStart w:id="72" w:name="_Toc1429149"/>
      <w:r>
        <w:rPr>
          <w:rFonts w:hint="eastAsia" w:ascii="宋体" w:hAnsi="宋体" w:cs="宋体"/>
          <w:sz w:val="32"/>
          <w:szCs w:val="32"/>
        </w:rPr>
        <w:t>第六部分</w:t>
      </w:r>
      <w:r>
        <w:rPr>
          <w:rFonts w:ascii="宋体" w:hAnsi="宋体" w:cs="宋体"/>
          <w:sz w:val="32"/>
          <w:szCs w:val="32"/>
        </w:rPr>
        <w:t xml:space="preserve">  </w:t>
      </w:r>
      <w:bookmarkStart w:id="73" w:name="_Toc86202632"/>
      <w:r>
        <w:rPr>
          <w:rFonts w:hint="eastAsia" w:ascii="宋体" w:hAnsi="宋体" w:cs="宋体"/>
          <w:sz w:val="32"/>
          <w:szCs w:val="32"/>
        </w:rPr>
        <w:t>投标文件格式</w:t>
      </w:r>
      <w:bookmarkEnd w:id="68"/>
      <w:bookmarkEnd w:id="69"/>
      <w:bookmarkEnd w:id="70"/>
      <w:bookmarkEnd w:id="71"/>
      <w:bookmarkEnd w:id="72"/>
      <w:bookmarkEnd w:id="73"/>
    </w:p>
    <w:p>
      <w:pPr>
        <w:rPr>
          <w:rFonts w:ascii="宋体"/>
        </w:rPr>
      </w:pPr>
    </w:p>
    <w:p>
      <w:pPr>
        <w:pStyle w:val="3"/>
        <w:numPr>
          <w:ilvl w:val="1"/>
          <w:numId w:val="0"/>
        </w:numPr>
        <w:spacing w:line="360" w:lineRule="auto"/>
        <w:rPr>
          <w:rFonts w:cs="Times New Roman"/>
        </w:rPr>
      </w:pPr>
      <w:bookmarkStart w:id="74" w:name="_Toc414523505"/>
      <w:bookmarkStart w:id="75" w:name="_Toc1429150"/>
      <w:bookmarkStart w:id="76" w:name="_Toc254790329"/>
      <w:bookmarkStart w:id="77" w:name="_Toc86202633"/>
      <w:bookmarkStart w:id="78" w:name="_Toc393092564"/>
      <w:r>
        <w:rPr>
          <w:rFonts w:hint="eastAsia" w:ascii="Times New Roman" w:hAnsi="Times New Roman" w:eastAsia="宋体" w:cs="宋体"/>
          <w:sz w:val="24"/>
          <w:szCs w:val="24"/>
        </w:rPr>
        <w:t>一、投标人提交文件须知</w:t>
      </w:r>
      <w:bookmarkEnd w:id="74"/>
      <w:bookmarkEnd w:id="75"/>
      <w:bookmarkEnd w:id="76"/>
      <w:bookmarkEnd w:id="77"/>
      <w:bookmarkEnd w:id="78"/>
    </w:p>
    <w:p>
      <w:pPr>
        <w:spacing w:line="360" w:lineRule="auto"/>
        <w:ind w:left="348" w:hanging="348" w:hangingChars="145"/>
      </w:pPr>
      <w:r>
        <w:t>1</w:t>
      </w:r>
      <w:r>
        <w:rPr>
          <w:rFonts w:hint="eastAsia" w:cs="宋体"/>
        </w:rPr>
        <w:t>、投标人应严格按照以下规定的格式填写，并按照</w:t>
      </w:r>
      <w:r>
        <w:rPr>
          <w:rFonts w:hint="eastAsia" w:ascii="宋体" w:hAnsi="宋体" w:cs="宋体"/>
          <w:b/>
          <w:bCs/>
        </w:rPr>
        <w:t>投标人须知前附表要求提交的商务文件和技术文件的顺序提交，</w:t>
      </w:r>
      <w:r>
        <w:rPr>
          <w:rFonts w:hint="eastAsia" w:cs="宋体"/>
        </w:rPr>
        <w:t>混乱的编排导致投标文件被误读或查找不到，后果由投标人承担。</w:t>
      </w:r>
    </w:p>
    <w:p>
      <w:pPr>
        <w:spacing w:line="360" w:lineRule="auto"/>
        <w:ind w:left="348" w:hanging="348" w:hangingChars="145"/>
      </w:pPr>
      <w:r>
        <w:t>2</w:t>
      </w:r>
      <w:r>
        <w:rPr>
          <w:rFonts w:hint="eastAsia" w:cs="宋体"/>
        </w:rPr>
        <w:t>、所附表格中要求回答的全部问题和信息都必须正面回答。</w:t>
      </w:r>
    </w:p>
    <w:p>
      <w:pPr>
        <w:spacing w:line="360" w:lineRule="auto"/>
        <w:ind w:left="348" w:hanging="348" w:hangingChars="145"/>
      </w:pPr>
      <w:r>
        <w:t>3</w:t>
      </w:r>
      <w:r>
        <w:rPr>
          <w:rFonts w:hint="eastAsia" w:cs="宋体"/>
        </w:rPr>
        <w:t>、所有文件要求签字、盖章的地方均需签字、盖章，并保证全部声明和问题的回答是真实的和准确的。</w:t>
      </w:r>
    </w:p>
    <w:p>
      <w:pPr>
        <w:spacing w:line="360" w:lineRule="auto"/>
        <w:ind w:left="348" w:hanging="348" w:hangingChars="145"/>
      </w:pPr>
      <w:r>
        <w:t>4</w:t>
      </w:r>
      <w:r>
        <w:rPr>
          <w:rFonts w:hint="eastAsia" w:cs="宋体"/>
        </w:rPr>
        <w:t>、评标委员会将应用投标人提交的资料并根据自己的判断，决定投标人履行合同的合格性及能力。</w:t>
      </w:r>
    </w:p>
    <w:p>
      <w:pPr>
        <w:spacing w:line="360" w:lineRule="auto"/>
        <w:ind w:left="348" w:hanging="348" w:hangingChars="145"/>
      </w:pPr>
      <w:r>
        <w:t>5</w:t>
      </w:r>
      <w:r>
        <w:rPr>
          <w:rFonts w:hint="eastAsia" w:cs="宋体"/>
        </w:rPr>
        <w:t>、投标人提交的材料将被保密保存，但不退还。</w:t>
      </w:r>
    </w:p>
    <w:p>
      <w:pPr>
        <w:spacing w:line="360" w:lineRule="auto"/>
        <w:ind w:left="348" w:hanging="348" w:hangingChars="145"/>
      </w:pPr>
      <w:r>
        <w:t>6</w:t>
      </w:r>
      <w:r>
        <w:rPr>
          <w:rFonts w:hint="eastAsia" w:cs="宋体"/>
        </w:rPr>
        <w:t>、全部文件应按投标人须知中规定的语言和份数提交。</w:t>
      </w:r>
    </w:p>
    <w:p>
      <w:pPr>
        <w:pStyle w:val="3"/>
        <w:numPr>
          <w:ilvl w:val="1"/>
          <w:numId w:val="0"/>
        </w:numPr>
        <w:spacing w:line="360" w:lineRule="auto"/>
        <w:ind w:left="3420"/>
        <w:rPr>
          <w:rFonts w:ascii="Times New Roman" w:hAnsi="Times New Roman" w:eastAsia="宋体" w:cs="Times New Roman"/>
          <w:sz w:val="24"/>
          <w:szCs w:val="24"/>
        </w:rPr>
      </w:pPr>
      <w:r>
        <w:rPr>
          <w:rFonts w:cs="Times New Roman"/>
        </w:rPr>
        <w:br w:type="page"/>
      </w:r>
      <w:bookmarkStart w:id="79" w:name="_Toc393092565"/>
      <w:bookmarkStart w:id="80" w:name="_Toc1429151"/>
      <w:bookmarkStart w:id="81" w:name="_Toc414523506"/>
      <w:bookmarkStart w:id="82" w:name="_Toc254790330"/>
      <w:bookmarkStart w:id="83" w:name="_Toc86202634"/>
      <w:r>
        <w:rPr>
          <w:rFonts w:hint="eastAsia" w:ascii="Times New Roman" w:hAnsi="Times New Roman" w:eastAsia="宋体" w:cs="宋体"/>
          <w:sz w:val="28"/>
          <w:szCs w:val="28"/>
        </w:rPr>
        <w:t>二、</w:t>
      </w:r>
      <w:bookmarkStart w:id="84" w:name="_Toc122337394"/>
      <w:r>
        <w:rPr>
          <w:rFonts w:hint="eastAsia" w:ascii="Times New Roman" w:hAnsi="Times New Roman" w:eastAsia="宋体" w:cs="宋体"/>
          <w:sz w:val="28"/>
          <w:szCs w:val="28"/>
        </w:rPr>
        <w:t>投标函</w:t>
      </w:r>
      <w:bookmarkEnd w:id="79"/>
      <w:bookmarkEnd w:id="80"/>
      <w:bookmarkEnd w:id="81"/>
      <w:bookmarkEnd w:id="82"/>
      <w:bookmarkEnd w:id="84"/>
    </w:p>
    <w:p>
      <w:pPr>
        <w:pStyle w:val="16"/>
        <w:snapToGrid w:val="0"/>
        <w:spacing w:line="360" w:lineRule="auto"/>
        <w:rPr>
          <w:rFonts w:ascii="Times New Roman" w:hAnsi="Times New Roman" w:cs="Times New Roman"/>
          <w:sz w:val="24"/>
          <w:szCs w:val="24"/>
        </w:rPr>
      </w:pPr>
    </w:p>
    <w:p>
      <w:pPr>
        <w:pStyle w:val="16"/>
        <w:snapToGrid w:val="0"/>
        <w:spacing w:line="360" w:lineRule="auto"/>
        <w:rPr>
          <w:rFonts w:ascii="Times New Roman" w:hAnsi="Times New Roman" w:cs="Times New Roman"/>
          <w:sz w:val="24"/>
          <w:szCs w:val="24"/>
        </w:rPr>
      </w:pPr>
      <w:r>
        <w:rPr>
          <w:rFonts w:hint="eastAsia" w:ascii="Times New Roman" w:hAnsi="Times New Roman"/>
          <w:sz w:val="24"/>
          <w:szCs w:val="24"/>
        </w:rPr>
        <w:t>致：</w:t>
      </w:r>
      <w:r>
        <w:rPr>
          <w:rFonts w:hint="eastAsia" w:hAnsi="宋体"/>
          <w:sz w:val="24"/>
          <w:szCs w:val="24"/>
        </w:rPr>
        <w:t>甘肃警察职业学院</w:t>
      </w:r>
    </w:p>
    <w:p>
      <w:pPr>
        <w:pStyle w:val="16"/>
        <w:snapToGrid w:val="0"/>
        <w:spacing w:line="360" w:lineRule="auto"/>
        <w:ind w:firstLine="315"/>
        <w:rPr>
          <w:rFonts w:ascii="Times New Roman" w:hAnsi="Times New Roman" w:cs="Times New Roman"/>
          <w:sz w:val="24"/>
          <w:szCs w:val="24"/>
        </w:rPr>
      </w:pPr>
    </w:p>
    <w:p>
      <w:pPr>
        <w:pStyle w:val="16"/>
        <w:snapToGrid w:val="0"/>
        <w:spacing w:line="360" w:lineRule="auto"/>
        <w:ind w:firstLine="315"/>
        <w:rPr>
          <w:rFonts w:ascii="Times New Roman" w:hAnsi="Times New Roman" w:cs="Times New Roman"/>
          <w:sz w:val="24"/>
          <w:szCs w:val="24"/>
        </w:rPr>
      </w:pPr>
      <w:r>
        <w:rPr>
          <w:rFonts w:ascii="Times New Roman" w:hAnsi="Times New Roman" w:cs="Times New Roman"/>
          <w:sz w:val="24"/>
          <w:szCs w:val="24"/>
        </w:rPr>
        <w:t>(</w:t>
      </w:r>
      <w:r>
        <w:rPr>
          <w:rFonts w:hint="eastAsia" w:ascii="Times New Roman" w:hAnsi="Times New Roman"/>
          <w:sz w:val="24"/>
          <w:szCs w:val="24"/>
        </w:rPr>
        <w:t>投标人全称</w:t>
      </w:r>
      <w:r>
        <w:rPr>
          <w:rFonts w:ascii="Times New Roman" w:hAnsi="Times New Roman" w:cs="Times New Roman"/>
          <w:sz w:val="24"/>
          <w:szCs w:val="24"/>
        </w:rPr>
        <w:t>)</w:t>
      </w:r>
      <w:r>
        <w:rPr>
          <w:rFonts w:hint="eastAsia" w:ascii="Times New Roman" w:hAnsi="Times New Roman"/>
          <w:sz w:val="24"/>
          <w:szCs w:val="24"/>
        </w:rPr>
        <w:t>授权</w:t>
      </w:r>
      <w:r>
        <w:rPr>
          <w:rFonts w:ascii="Times New Roman" w:hAnsi="Times New Roman" w:cs="Times New Roman"/>
          <w:sz w:val="24"/>
          <w:szCs w:val="24"/>
        </w:rPr>
        <w:t>(</w:t>
      </w:r>
      <w:r>
        <w:rPr>
          <w:rFonts w:hint="eastAsia" w:ascii="Times New Roman" w:hAnsi="Times New Roman"/>
          <w:sz w:val="24"/>
          <w:szCs w:val="24"/>
        </w:rPr>
        <w:t>投标人代表姓名</w:t>
      </w:r>
      <w:r>
        <w:rPr>
          <w:rFonts w:ascii="Times New Roman" w:hAnsi="Times New Roman" w:cs="Times New Roman"/>
          <w:sz w:val="24"/>
          <w:szCs w:val="24"/>
        </w:rPr>
        <w:t>)(</w:t>
      </w:r>
      <w:r>
        <w:rPr>
          <w:rFonts w:hint="eastAsia" w:ascii="Times New Roman" w:hAnsi="Times New Roman"/>
          <w:sz w:val="24"/>
          <w:szCs w:val="24"/>
        </w:rPr>
        <w:t>职务、职称</w:t>
      </w:r>
      <w:r>
        <w:rPr>
          <w:rFonts w:ascii="Times New Roman" w:hAnsi="Times New Roman" w:cs="Times New Roman"/>
          <w:sz w:val="24"/>
          <w:szCs w:val="24"/>
        </w:rPr>
        <w:t>)</w:t>
      </w:r>
      <w:r>
        <w:rPr>
          <w:rFonts w:hint="eastAsia" w:ascii="Times New Roman" w:hAnsi="Times New Roman"/>
          <w:sz w:val="24"/>
          <w:szCs w:val="24"/>
        </w:rPr>
        <w:t>为我方代表，参加贵方</w:t>
      </w:r>
      <w:r>
        <w:rPr>
          <w:rFonts w:ascii="Times New Roman" w:hAnsi="Times New Roman" w:cs="Times New Roman"/>
          <w:sz w:val="24"/>
          <w:szCs w:val="24"/>
        </w:rPr>
        <w:t>(</w:t>
      </w:r>
      <w:r>
        <w:rPr>
          <w:rFonts w:hint="eastAsia" w:ascii="Times New Roman" w:hAnsi="Times New Roman"/>
          <w:sz w:val="24"/>
          <w:szCs w:val="24"/>
        </w:rPr>
        <w:t>项目名称、招标编号</w:t>
      </w:r>
      <w:r>
        <w:rPr>
          <w:rFonts w:ascii="Times New Roman" w:hAnsi="Times New Roman" w:cs="Times New Roman"/>
          <w:sz w:val="24"/>
          <w:szCs w:val="24"/>
        </w:rPr>
        <w:t>)</w:t>
      </w:r>
      <w:r>
        <w:rPr>
          <w:rFonts w:hint="eastAsia" w:ascii="Times New Roman" w:hAnsi="Times New Roman"/>
          <w:sz w:val="24"/>
          <w:szCs w:val="24"/>
        </w:rPr>
        <w:t>招标的有关活动，并对此项目进行投标。据此函，作如下承诺：</w:t>
      </w:r>
    </w:p>
    <w:p>
      <w:pPr>
        <w:pStyle w:val="66"/>
        <w:numPr>
          <w:ilvl w:val="0"/>
          <w:numId w:val="0"/>
        </w:numPr>
        <w:snapToGrid w:val="0"/>
        <w:spacing w:line="360" w:lineRule="auto"/>
        <w:rPr>
          <w:rFonts w:ascii="Times New Roman"/>
          <w:sz w:val="24"/>
          <w:szCs w:val="24"/>
        </w:rPr>
      </w:pPr>
      <w:r>
        <w:rPr>
          <w:rFonts w:ascii="Times New Roman"/>
          <w:sz w:val="24"/>
          <w:szCs w:val="24"/>
        </w:rPr>
        <w:t xml:space="preserve">    1</w:t>
      </w:r>
      <w:r>
        <w:rPr>
          <w:rFonts w:hint="eastAsia" w:ascii="Times New Roman"/>
          <w:sz w:val="24"/>
          <w:szCs w:val="24"/>
        </w:rPr>
        <w:t>、同意在本项目招标文件中规定的开标日起</w:t>
      </w:r>
      <w:r>
        <w:rPr>
          <w:rFonts w:ascii="Times New Roman"/>
          <w:sz w:val="24"/>
          <w:szCs w:val="24"/>
          <w:u w:val="single"/>
        </w:rPr>
        <w:t>90</w:t>
      </w:r>
      <w:r>
        <w:rPr>
          <w:rFonts w:hint="eastAsia" w:ascii="Times New Roman"/>
          <w:sz w:val="24"/>
          <w:szCs w:val="24"/>
          <w:u w:val="single"/>
        </w:rPr>
        <w:t>天内</w:t>
      </w:r>
      <w:r>
        <w:rPr>
          <w:rFonts w:hint="eastAsia" w:ascii="Times New Roman"/>
          <w:sz w:val="24"/>
          <w:szCs w:val="24"/>
        </w:rPr>
        <w:t>遵守本投标文件中的承诺且在此期限期满之前均具有约束力。</w:t>
      </w:r>
    </w:p>
    <w:p>
      <w:pPr>
        <w:pStyle w:val="66"/>
        <w:numPr>
          <w:ilvl w:val="0"/>
          <w:numId w:val="0"/>
        </w:numPr>
        <w:snapToGrid w:val="0"/>
        <w:spacing w:line="360" w:lineRule="auto"/>
        <w:rPr>
          <w:rFonts w:ascii="Times New Roman"/>
          <w:sz w:val="24"/>
          <w:szCs w:val="24"/>
        </w:rPr>
      </w:pPr>
      <w:r>
        <w:rPr>
          <w:rFonts w:ascii="Times New Roman"/>
          <w:sz w:val="24"/>
          <w:szCs w:val="24"/>
        </w:rPr>
        <w:t xml:space="preserve">    2</w:t>
      </w:r>
      <w:r>
        <w:rPr>
          <w:rFonts w:hint="eastAsia" w:ascii="Times New Roman"/>
          <w:sz w:val="24"/>
          <w:szCs w:val="24"/>
        </w:rPr>
        <w:t>、投标人承诺已经具备《中华人民共和国政府采购法》中规定的参加政府采购活动的投标人应当具备的条件：</w:t>
      </w:r>
    </w:p>
    <w:p>
      <w:pPr>
        <w:numPr>
          <w:ilvl w:val="0"/>
          <w:numId w:val="33"/>
        </w:numPr>
        <w:adjustRightInd/>
        <w:snapToGrid w:val="0"/>
        <w:spacing w:line="360" w:lineRule="auto"/>
        <w:jc w:val="both"/>
        <w:textAlignment w:val="auto"/>
      </w:pPr>
      <w:r>
        <w:rPr>
          <w:rFonts w:hint="eastAsia" w:cs="宋体"/>
        </w:rPr>
        <w:t>具有独立承担民事责任的能力；</w:t>
      </w:r>
    </w:p>
    <w:p>
      <w:pPr>
        <w:numPr>
          <w:ilvl w:val="0"/>
          <w:numId w:val="33"/>
        </w:numPr>
        <w:adjustRightInd/>
        <w:snapToGrid w:val="0"/>
        <w:spacing w:line="360" w:lineRule="auto"/>
        <w:jc w:val="both"/>
        <w:textAlignment w:val="auto"/>
      </w:pPr>
      <w:r>
        <w:rPr>
          <w:rFonts w:hint="eastAsia" w:cs="宋体"/>
        </w:rPr>
        <w:t>具有良好的商业信誉和健全的财务会计制度；</w:t>
      </w:r>
    </w:p>
    <w:p>
      <w:pPr>
        <w:numPr>
          <w:ilvl w:val="0"/>
          <w:numId w:val="33"/>
        </w:numPr>
        <w:adjustRightInd/>
        <w:snapToGrid w:val="0"/>
        <w:spacing w:line="360" w:lineRule="auto"/>
        <w:jc w:val="both"/>
        <w:textAlignment w:val="auto"/>
      </w:pPr>
      <w:r>
        <w:rPr>
          <w:rFonts w:hint="eastAsia" w:cs="宋体"/>
        </w:rPr>
        <w:t>具有履行合同所必需的设备和专业技术能力；</w:t>
      </w:r>
    </w:p>
    <w:p>
      <w:pPr>
        <w:numPr>
          <w:ilvl w:val="0"/>
          <w:numId w:val="33"/>
        </w:numPr>
        <w:adjustRightInd/>
        <w:snapToGrid w:val="0"/>
        <w:spacing w:line="360" w:lineRule="auto"/>
        <w:jc w:val="both"/>
        <w:textAlignment w:val="auto"/>
      </w:pPr>
      <w:r>
        <w:rPr>
          <w:rFonts w:hint="eastAsia" w:cs="宋体"/>
        </w:rPr>
        <w:t>有依法缴纳税收和社会保障资金的良好记录；</w:t>
      </w:r>
    </w:p>
    <w:p>
      <w:pPr>
        <w:numPr>
          <w:ilvl w:val="0"/>
          <w:numId w:val="33"/>
        </w:numPr>
        <w:adjustRightInd/>
        <w:snapToGrid w:val="0"/>
        <w:spacing w:line="360" w:lineRule="auto"/>
        <w:jc w:val="both"/>
        <w:textAlignment w:val="auto"/>
      </w:pPr>
      <w:r>
        <w:rPr>
          <w:rFonts w:hint="eastAsia" w:cs="宋体"/>
        </w:rPr>
        <w:t>参加此项采购活动前三年内，在经营活动中没有重大违法记录。</w:t>
      </w:r>
    </w:p>
    <w:p>
      <w:pPr>
        <w:pStyle w:val="66"/>
        <w:numPr>
          <w:ilvl w:val="0"/>
          <w:numId w:val="0"/>
        </w:numPr>
        <w:snapToGrid w:val="0"/>
        <w:spacing w:line="360" w:lineRule="auto"/>
        <w:rPr>
          <w:rFonts w:ascii="Times New Roman"/>
          <w:sz w:val="24"/>
          <w:szCs w:val="24"/>
        </w:rPr>
      </w:pPr>
      <w:r>
        <w:rPr>
          <w:rFonts w:ascii="Times New Roman"/>
          <w:sz w:val="24"/>
          <w:szCs w:val="24"/>
        </w:rPr>
        <w:t xml:space="preserve">    3</w:t>
      </w:r>
      <w:r>
        <w:rPr>
          <w:rFonts w:hint="eastAsia" w:ascii="Times New Roman"/>
          <w:sz w:val="24"/>
          <w:szCs w:val="24"/>
        </w:rPr>
        <w:t>、提供投标须知规定的全部投标文件，包括</w:t>
      </w:r>
      <w:r>
        <w:rPr>
          <w:rFonts w:hint="eastAsia" w:ascii="Times New Roman"/>
          <w:sz w:val="24"/>
          <w:szCs w:val="24"/>
          <w:u w:val="single"/>
        </w:rPr>
        <w:t>投标文件正本</w:t>
      </w:r>
      <w:r>
        <w:rPr>
          <w:rFonts w:ascii="Times New Roman"/>
          <w:sz w:val="24"/>
          <w:szCs w:val="24"/>
          <w:u w:val="single"/>
        </w:rPr>
        <w:t xml:space="preserve">  </w:t>
      </w:r>
      <w:r>
        <w:rPr>
          <w:rFonts w:hint="eastAsia" w:ascii="Times New Roman"/>
          <w:sz w:val="24"/>
          <w:szCs w:val="24"/>
          <w:u w:val="single"/>
        </w:rPr>
        <w:t>份，副本</w:t>
      </w:r>
      <w:r>
        <w:rPr>
          <w:rFonts w:ascii="Times New Roman"/>
          <w:sz w:val="24"/>
          <w:szCs w:val="24"/>
          <w:u w:val="single"/>
        </w:rPr>
        <w:t xml:space="preserve">  </w:t>
      </w:r>
      <w:r>
        <w:rPr>
          <w:rFonts w:hint="eastAsia" w:ascii="Times New Roman"/>
          <w:sz w:val="24"/>
          <w:szCs w:val="24"/>
          <w:u w:val="single"/>
        </w:rPr>
        <w:t>份，电子文档</w:t>
      </w:r>
      <w:r>
        <w:rPr>
          <w:rFonts w:ascii="Times New Roman"/>
          <w:sz w:val="24"/>
          <w:szCs w:val="24"/>
          <w:u w:val="single"/>
        </w:rPr>
        <w:t xml:space="preserve">    </w:t>
      </w:r>
      <w:r>
        <w:rPr>
          <w:rFonts w:hint="eastAsia" w:ascii="Times New Roman"/>
          <w:sz w:val="24"/>
          <w:szCs w:val="24"/>
          <w:u w:val="single"/>
        </w:rPr>
        <w:t>份，开标一览表正本</w:t>
      </w:r>
      <w:r>
        <w:rPr>
          <w:rFonts w:ascii="Times New Roman"/>
          <w:sz w:val="24"/>
          <w:szCs w:val="24"/>
          <w:u w:val="single"/>
        </w:rPr>
        <w:t xml:space="preserve">    </w:t>
      </w:r>
      <w:r>
        <w:rPr>
          <w:rFonts w:hint="eastAsia" w:ascii="Times New Roman"/>
          <w:sz w:val="24"/>
          <w:szCs w:val="24"/>
          <w:u w:val="single"/>
        </w:rPr>
        <w:t>份</w:t>
      </w:r>
      <w:r>
        <w:rPr>
          <w:rFonts w:hint="eastAsia" w:ascii="Times New Roman"/>
          <w:sz w:val="24"/>
          <w:szCs w:val="24"/>
        </w:rPr>
        <w:t>。</w:t>
      </w:r>
    </w:p>
    <w:p>
      <w:pPr>
        <w:pStyle w:val="16"/>
        <w:snapToGrid w:val="0"/>
        <w:spacing w:line="360" w:lineRule="auto"/>
        <w:rPr>
          <w:rFonts w:ascii="Times New Roman" w:hAnsi="Times New Roman" w:cs="Times New Roman"/>
          <w:sz w:val="24"/>
          <w:szCs w:val="24"/>
        </w:rPr>
      </w:pPr>
      <w:r>
        <w:rPr>
          <w:rFonts w:ascii="Times New Roman" w:hAnsi="Times New Roman" w:cs="Times New Roman"/>
          <w:sz w:val="24"/>
          <w:szCs w:val="24"/>
        </w:rPr>
        <w:t xml:space="preserve">    4</w:t>
      </w:r>
      <w:r>
        <w:rPr>
          <w:rFonts w:hint="eastAsia" w:ascii="Times New Roman" w:hAnsi="Times New Roman"/>
          <w:sz w:val="24"/>
          <w:szCs w:val="24"/>
        </w:rPr>
        <w:t>、已详细审阅全部招标文件（包括招标文件澄清函），理解投标人须知的所有条款。</w:t>
      </w:r>
    </w:p>
    <w:p>
      <w:pPr>
        <w:pStyle w:val="16"/>
        <w:snapToGrid w:val="0"/>
        <w:spacing w:line="360" w:lineRule="auto"/>
        <w:rPr>
          <w:rFonts w:ascii="Times New Roman" w:hAnsi="Times New Roman" w:cs="Times New Roman"/>
          <w:sz w:val="24"/>
          <w:szCs w:val="24"/>
        </w:rPr>
      </w:pPr>
      <w:r>
        <w:rPr>
          <w:rFonts w:ascii="Times New Roman" w:hAnsi="Times New Roman" w:cs="Times New Roman"/>
          <w:sz w:val="24"/>
          <w:szCs w:val="24"/>
        </w:rPr>
        <w:t xml:space="preserve">    5</w:t>
      </w:r>
      <w:r>
        <w:rPr>
          <w:rFonts w:hint="eastAsia" w:ascii="Times New Roman" w:hAnsi="Times New Roman"/>
          <w:sz w:val="24"/>
          <w:szCs w:val="24"/>
        </w:rPr>
        <w:t>、保证按招标文件要求，提供与投标报价金额相符的服务。</w:t>
      </w:r>
    </w:p>
    <w:p>
      <w:pPr>
        <w:pStyle w:val="66"/>
        <w:numPr>
          <w:ilvl w:val="0"/>
          <w:numId w:val="0"/>
        </w:numPr>
        <w:snapToGrid w:val="0"/>
        <w:spacing w:line="360" w:lineRule="auto"/>
        <w:rPr>
          <w:rFonts w:ascii="Times New Roman"/>
          <w:sz w:val="24"/>
          <w:szCs w:val="24"/>
        </w:rPr>
      </w:pPr>
      <w:r>
        <w:rPr>
          <w:rFonts w:ascii="Times New Roman"/>
          <w:sz w:val="24"/>
          <w:szCs w:val="24"/>
        </w:rPr>
        <w:t xml:space="preserve">    6</w:t>
      </w:r>
      <w:r>
        <w:rPr>
          <w:rFonts w:hint="eastAsia" w:ascii="Times New Roman"/>
          <w:sz w:val="24"/>
          <w:szCs w:val="24"/>
        </w:rPr>
        <w:t>、承诺接受招标文件中全部合同条款，且无任何异议；保证忠实地执行双方所签订的合同，并承担合同规定的责任和义务。</w:t>
      </w:r>
    </w:p>
    <w:p>
      <w:pPr>
        <w:pStyle w:val="66"/>
        <w:numPr>
          <w:ilvl w:val="0"/>
          <w:numId w:val="0"/>
        </w:numPr>
        <w:snapToGrid w:val="0"/>
        <w:spacing w:line="360" w:lineRule="auto"/>
        <w:rPr>
          <w:rFonts w:ascii="Times New Roman"/>
          <w:sz w:val="24"/>
          <w:szCs w:val="24"/>
        </w:rPr>
      </w:pPr>
      <w:r>
        <w:rPr>
          <w:rFonts w:ascii="Times New Roman"/>
          <w:sz w:val="24"/>
          <w:szCs w:val="24"/>
        </w:rPr>
        <w:t xml:space="preserve">    7</w:t>
      </w:r>
      <w:r>
        <w:rPr>
          <w:rFonts w:hint="eastAsia" w:ascii="Times New Roman"/>
          <w:sz w:val="24"/>
          <w:szCs w:val="24"/>
        </w:rPr>
        <w:t>、承诺完全满足和响应招标文件中的各项商务和技术要求，若有偏差，已在投标文件中显著处予以明确特别说明。</w:t>
      </w:r>
    </w:p>
    <w:p>
      <w:pPr>
        <w:pStyle w:val="66"/>
        <w:numPr>
          <w:ilvl w:val="0"/>
          <w:numId w:val="0"/>
        </w:numPr>
        <w:snapToGrid w:val="0"/>
        <w:spacing w:line="360" w:lineRule="auto"/>
        <w:rPr>
          <w:rFonts w:ascii="Times New Roman"/>
          <w:sz w:val="24"/>
          <w:szCs w:val="24"/>
        </w:rPr>
      </w:pPr>
      <w:r>
        <w:rPr>
          <w:rFonts w:ascii="Times New Roman"/>
          <w:sz w:val="24"/>
          <w:szCs w:val="24"/>
        </w:rPr>
        <w:t xml:space="preserve">    8</w:t>
      </w:r>
      <w:r>
        <w:rPr>
          <w:rFonts w:hint="eastAsia" w:ascii="Times New Roman"/>
          <w:sz w:val="24"/>
          <w:szCs w:val="24"/>
        </w:rPr>
        <w:t>、保证遵守招标文件中的所有规定。</w:t>
      </w:r>
    </w:p>
    <w:p>
      <w:pPr>
        <w:pStyle w:val="66"/>
        <w:numPr>
          <w:ilvl w:val="0"/>
          <w:numId w:val="0"/>
        </w:numPr>
        <w:snapToGrid w:val="0"/>
        <w:spacing w:line="360" w:lineRule="auto"/>
        <w:rPr>
          <w:rFonts w:ascii="Times New Roman"/>
          <w:sz w:val="24"/>
          <w:szCs w:val="24"/>
        </w:rPr>
      </w:pPr>
      <w:r>
        <w:rPr>
          <w:rFonts w:ascii="Times New Roman"/>
          <w:sz w:val="24"/>
          <w:szCs w:val="24"/>
        </w:rPr>
        <w:t xml:space="preserve">    9</w:t>
      </w:r>
      <w:r>
        <w:rPr>
          <w:rFonts w:hint="eastAsia" w:ascii="Times New Roman"/>
          <w:sz w:val="24"/>
          <w:szCs w:val="24"/>
        </w:rPr>
        <w:t>、如果在开标后规定的投标有效期内撤回投标，我方的投标保证金可被贵方没收。</w:t>
      </w:r>
    </w:p>
    <w:p>
      <w:pPr>
        <w:pStyle w:val="66"/>
        <w:numPr>
          <w:ilvl w:val="0"/>
          <w:numId w:val="0"/>
        </w:numPr>
        <w:snapToGrid w:val="0"/>
        <w:spacing w:line="360" w:lineRule="auto"/>
        <w:rPr>
          <w:rFonts w:ascii="Times New Roman"/>
          <w:sz w:val="24"/>
          <w:szCs w:val="24"/>
        </w:rPr>
      </w:pPr>
      <w:r>
        <w:rPr>
          <w:rFonts w:ascii="Times New Roman"/>
          <w:sz w:val="24"/>
          <w:szCs w:val="24"/>
        </w:rPr>
        <w:t xml:space="preserve">   10</w:t>
      </w:r>
      <w:r>
        <w:rPr>
          <w:rFonts w:hint="eastAsia" w:ascii="Times New Roman"/>
          <w:sz w:val="24"/>
          <w:szCs w:val="24"/>
        </w:rPr>
        <w:t>、完全理解贵方“不得以低于成本的报价竞标，低于成本价的投标将被拒绝”及“最低报价不能作为中标的保证”的规定。</w:t>
      </w:r>
    </w:p>
    <w:p>
      <w:pPr>
        <w:pStyle w:val="66"/>
        <w:numPr>
          <w:ilvl w:val="0"/>
          <w:numId w:val="0"/>
        </w:numPr>
        <w:snapToGrid w:val="0"/>
        <w:spacing w:line="360" w:lineRule="auto"/>
        <w:rPr>
          <w:rFonts w:ascii="Times New Roman"/>
          <w:sz w:val="24"/>
          <w:szCs w:val="24"/>
        </w:rPr>
      </w:pPr>
      <w:r>
        <w:rPr>
          <w:rFonts w:ascii="Times New Roman"/>
          <w:sz w:val="24"/>
          <w:szCs w:val="24"/>
        </w:rPr>
        <w:t xml:space="preserve">    11</w:t>
      </w:r>
      <w:r>
        <w:rPr>
          <w:rFonts w:hint="eastAsia" w:ascii="Times New Roman"/>
          <w:sz w:val="24"/>
          <w:szCs w:val="24"/>
        </w:rPr>
        <w:t>、愿意向贵方提供任何与本项投标有关的数据、情况和技术资料。若贵方需要，愿意提供我方作出的一切承诺的证明材料。</w:t>
      </w:r>
    </w:p>
    <w:p>
      <w:pPr>
        <w:pStyle w:val="66"/>
        <w:numPr>
          <w:ilvl w:val="0"/>
          <w:numId w:val="0"/>
        </w:numPr>
        <w:snapToGrid w:val="0"/>
        <w:spacing w:line="360" w:lineRule="auto"/>
        <w:rPr>
          <w:rFonts w:ascii="Times New Roman"/>
          <w:sz w:val="24"/>
          <w:szCs w:val="24"/>
        </w:rPr>
      </w:pPr>
      <w:r>
        <w:rPr>
          <w:rFonts w:ascii="Times New Roman"/>
          <w:sz w:val="24"/>
          <w:szCs w:val="24"/>
        </w:rPr>
        <w:t xml:space="preserve">    12</w:t>
      </w:r>
      <w:r>
        <w:rPr>
          <w:rFonts w:hint="eastAsia" w:ascii="Times New Roman"/>
          <w:sz w:val="24"/>
          <w:szCs w:val="24"/>
        </w:rPr>
        <w:t>、我方已详细审核全部投标文件、参考资料及有关附件，确认无误。</w:t>
      </w:r>
    </w:p>
    <w:p>
      <w:pPr>
        <w:pStyle w:val="66"/>
        <w:numPr>
          <w:ilvl w:val="0"/>
          <w:numId w:val="0"/>
        </w:numPr>
        <w:snapToGrid w:val="0"/>
        <w:spacing w:line="360" w:lineRule="auto"/>
        <w:rPr>
          <w:rFonts w:ascii="Times New Roman"/>
          <w:sz w:val="24"/>
          <w:szCs w:val="24"/>
        </w:rPr>
      </w:pPr>
      <w:r>
        <w:rPr>
          <w:rFonts w:ascii="Times New Roman"/>
          <w:sz w:val="24"/>
          <w:szCs w:val="24"/>
        </w:rPr>
        <w:t xml:space="preserve">    13</w:t>
      </w:r>
      <w:r>
        <w:rPr>
          <w:rFonts w:hint="eastAsia" w:ascii="Times New Roman"/>
          <w:sz w:val="24"/>
          <w:szCs w:val="24"/>
        </w:rPr>
        <w:t>、我方承诺：贵方若需追加采购本项目招标文件所列相关服务的，在不改变合同其他实质性条款的前提下，按相同或更优惠的折扣保证服务。</w:t>
      </w:r>
    </w:p>
    <w:p>
      <w:pPr>
        <w:snapToGrid w:val="0"/>
        <w:spacing w:line="360" w:lineRule="auto"/>
      </w:pPr>
      <w:r>
        <w:t xml:space="preserve">    14</w:t>
      </w:r>
      <w:r>
        <w:rPr>
          <w:rFonts w:hint="eastAsia" w:cs="宋体"/>
        </w:rPr>
        <w:t>、我方将严格遵守《中华人民共和国政府采购法》第七十七条的规定。</w:t>
      </w:r>
    </w:p>
    <w:p>
      <w:pPr>
        <w:snapToGrid w:val="0"/>
        <w:spacing w:line="360" w:lineRule="auto"/>
      </w:pPr>
    </w:p>
    <w:p>
      <w:pPr>
        <w:snapToGrid w:val="0"/>
        <w:spacing w:line="360" w:lineRule="auto"/>
      </w:pPr>
    </w:p>
    <w:p>
      <w:pPr>
        <w:tabs>
          <w:tab w:val="left" w:pos="480"/>
        </w:tabs>
        <w:snapToGrid w:val="0"/>
        <w:spacing w:line="360" w:lineRule="auto"/>
      </w:pPr>
      <w:r>
        <w:t xml:space="preserve">     </w:t>
      </w:r>
      <w:r>
        <w:rPr>
          <w:rFonts w:hint="eastAsia" w:cs="宋体"/>
        </w:rPr>
        <w:t>投标人地址：</w:t>
      </w:r>
      <w:r>
        <w:t>____________</w:t>
      </w:r>
    </w:p>
    <w:p>
      <w:pPr>
        <w:tabs>
          <w:tab w:val="left" w:pos="480"/>
        </w:tabs>
        <w:snapToGrid w:val="0"/>
        <w:spacing w:line="360" w:lineRule="auto"/>
      </w:pPr>
      <w:r>
        <w:tab/>
      </w:r>
      <w:r>
        <w:t xml:space="preserve"> </w:t>
      </w:r>
      <w:r>
        <w:rPr>
          <w:rFonts w:hint="eastAsia" w:cs="宋体"/>
        </w:rPr>
        <w:t>邮编：</w:t>
      </w:r>
      <w:r>
        <w:t>____________</w:t>
      </w:r>
      <w:r>
        <w:rPr>
          <w:rFonts w:hint="eastAsia" w:cs="宋体"/>
        </w:rPr>
        <w:t>　</w:t>
      </w:r>
    </w:p>
    <w:p>
      <w:pPr>
        <w:tabs>
          <w:tab w:val="left" w:pos="480"/>
        </w:tabs>
        <w:snapToGrid w:val="0"/>
        <w:spacing w:line="360" w:lineRule="auto"/>
      </w:pPr>
      <w:r>
        <w:tab/>
      </w:r>
      <w:r>
        <w:t xml:space="preserve"> </w:t>
      </w:r>
      <w:r>
        <w:rPr>
          <w:rFonts w:hint="eastAsia" w:cs="宋体"/>
        </w:rPr>
        <w:t>电话：</w:t>
      </w:r>
      <w:r>
        <w:t>____________</w:t>
      </w:r>
    </w:p>
    <w:p>
      <w:pPr>
        <w:tabs>
          <w:tab w:val="left" w:pos="480"/>
        </w:tabs>
        <w:snapToGrid w:val="0"/>
        <w:spacing w:line="360" w:lineRule="auto"/>
      </w:pPr>
      <w:r>
        <w:tab/>
      </w:r>
      <w:r>
        <w:t xml:space="preserve"> </w:t>
      </w:r>
      <w:r>
        <w:rPr>
          <w:rFonts w:hint="eastAsia" w:cs="宋体"/>
        </w:rPr>
        <w:t>传真：</w:t>
      </w:r>
      <w:r>
        <w:t>____________</w:t>
      </w:r>
    </w:p>
    <w:p>
      <w:pPr>
        <w:tabs>
          <w:tab w:val="left" w:pos="480"/>
        </w:tabs>
        <w:snapToGrid w:val="0"/>
        <w:spacing w:line="360" w:lineRule="auto"/>
        <w:ind w:firstLine="479"/>
      </w:pPr>
      <w:r>
        <w:t xml:space="preserve"> </w:t>
      </w:r>
      <w:r>
        <w:rPr>
          <w:rFonts w:hint="eastAsia" w:cs="宋体"/>
        </w:rPr>
        <w:t>投标人代表联系电话：，</w:t>
      </w:r>
      <w:r>
        <w:t>e-mail</w:t>
      </w:r>
      <w:r>
        <w:rPr>
          <w:rFonts w:hint="eastAsia" w:cs="宋体"/>
        </w:rPr>
        <w:t>：</w:t>
      </w:r>
    </w:p>
    <w:p>
      <w:pPr>
        <w:tabs>
          <w:tab w:val="left" w:pos="480"/>
        </w:tabs>
        <w:snapToGrid w:val="0"/>
        <w:spacing w:line="360" w:lineRule="auto"/>
        <w:ind w:firstLine="479"/>
      </w:pPr>
      <w:r>
        <w:tab/>
      </w:r>
      <w:r>
        <w:t xml:space="preserve"> </w:t>
      </w:r>
      <w:r>
        <w:rPr>
          <w:rFonts w:hint="eastAsia" w:cs="宋体"/>
        </w:rPr>
        <w:t>投标人</w:t>
      </w:r>
      <w:r>
        <w:t>(</w:t>
      </w:r>
      <w:r>
        <w:rPr>
          <w:rFonts w:hint="eastAsia" w:cs="宋体"/>
        </w:rPr>
        <w:t>公章</w:t>
      </w:r>
      <w:r>
        <w:t>)</w:t>
      </w:r>
      <w:r>
        <w:rPr>
          <w:rFonts w:hint="eastAsia" w:cs="宋体"/>
        </w:rPr>
        <w:t>：</w:t>
      </w:r>
    </w:p>
    <w:p>
      <w:pPr>
        <w:tabs>
          <w:tab w:val="left" w:pos="480"/>
        </w:tabs>
        <w:snapToGrid w:val="0"/>
        <w:spacing w:line="360" w:lineRule="auto"/>
        <w:ind w:firstLine="479"/>
      </w:pPr>
      <w:r>
        <w:t xml:space="preserve"> </w:t>
      </w:r>
      <w:r>
        <w:rPr>
          <w:rFonts w:hint="eastAsia" w:cs="宋体"/>
        </w:rPr>
        <w:t>法人代表签字：</w:t>
      </w:r>
    </w:p>
    <w:p>
      <w:pPr>
        <w:tabs>
          <w:tab w:val="left" w:pos="480"/>
        </w:tabs>
        <w:snapToGrid w:val="0"/>
        <w:spacing w:line="360" w:lineRule="auto"/>
        <w:ind w:firstLine="479"/>
        <w:rPr>
          <w:u w:val="single"/>
        </w:rPr>
      </w:pPr>
      <w:r>
        <w:t xml:space="preserve"> </w:t>
      </w:r>
      <w:r>
        <w:rPr>
          <w:rFonts w:hint="eastAsia" w:cs="宋体"/>
        </w:rPr>
        <w:t>投标人代表签字：</w:t>
      </w:r>
    </w:p>
    <w:p>
      <w:pPr>
        <w:tabs>
          <w:tab w:val="left" w:pos="480"/>
        </w:tabs>
        <w:snapToGrid w:val="0"/>
        <w:spacing w:line="360" w:lineRule="auto"/>
        <w:ind w:firstLine="479"/>
      </w:pPr>
      <w:r>
        <w:t xml:space="preserve"> </w:t>
      </w:r>
      <w:r>
        <w:rPr>
          <w:rFonts w:hint="eastAsia" w:cs="宋体"/>
        </w:rPr>
        <w:t>日　期：</w:t>
      </w:r>
    </w:p>
    <w:p>
      <w:pPr>
        <w:spacing w:line="360" w:lineRule="auto"/>
        <w:ind w:left="480" w:hanging="480" w:hangingChars="200"/>
      </w:pPr>
    </w:p>
    <w:p>
      <w:pPr>
        <w:spacing w:line="360" w:lineRule="auto"/>
        <w:ind w:left="480" w:hanging="480" w:hangingChars="200"/>
      </w:pPr>
      <w:r>
        <w:rPr>
          <w:rFonts w:hint="eastAsia" w:cs="宋体"/>
        </w:rPr>
        <w:t>注：除可填报项目外，对本投标函的任何修改将被视为非实质性响应投标，从而导致该投标被拒绝。</w:t>
      </w:r>
    </w:p>
    <w:p>
      <w:r>
        <w:br w:type="page"/>
      </w:r>
      <w:bookmarkStart w:id="85" w:name="_Toc414523507"/>
      <w:bookmarkStart w:id="86" w:name="_Toc393092566"/>
      <w:bookmarkStart w:id="87" w:name="_Toc254790331"/>
    </w:p>
    <w:p>
      <w:pPr>
        <w:pStyle w:val="3"/>
        <w:numPr>
          <w:ilvl w:val="1"/>
          <w:numId w:val="0"/>
        </w:numPr>
        <w:spacing w:line="360" w:lineRule="auto"/>
        <w:ind w:left="3420"/>
        <w:rPr>
          <w:rFonts w:ascii="Times New Roman" w:hAnsi="Times New Roman" w:eastAsia="宋体" w:cs="Times New Roman"/>
          <w:sz w:val="24"/>
          <w:szCs w:val="24"/>
        </w:rPr>
      </w:pPr>
      <w:bookmarkStart w:id="88" w:name="_Toc1429152"/>
      <w:r>
        <w:rPr>
          <w:rFonts w:hint="eastAsia" w:ascii="Times New Roman" w:hAnsi="Times New Roman" w:eastAsia="宋体" w:cs="宋体"/>
          <w:sz w:val="28"/>
          <w:szCs w:val="28"/>
        </w:rPr>
        <w:t>三、法定代表人授权委托书</w:t>
      </w:r>
      <w:bookmarkEnd w:id="85"/>
      <w:bookmarkEnd w:id="86"/>
      <w:bookmarkEnd w:id="87"/>
      <w:bookmarkEnd w:id="88"/>
    </w:p>
    <w:p>
      <w:pPr>
        <w:spacing w:line="360" w:lineRule="auto"/>
        <w:rPr>
          <w:u w:val="single"/>
        </w:rPr>
      </w:pPr>
    </w:p>
    <w:p>
      <w:pPr>
        <w:spacing w:line="360" w:lineRule="auto"/>
      </w:pPr>
      <w:r>
        <w:rPr>
          <w:rFonts w:hint="eastAsia" w:ascii="宋体" w:hAnsi="宋体" w:cs="宋体"/>
        </w:rPr>
        <w:t>甘肃警察职业学院</w:t>
      </w:r>
      <w:r>
        <w:rPr>
          <w:rFonts w:hint="eastAsia" w:cs="宋体"/>
        </w:rPr>
        <w:t>：</w:t>
      </w:r>
    </w:p>
    <w:p>
      <w:pPr>
        <w:spacing w:line="360" w:lineRule="auto"/>
      </w:pPr>
    </w:p>
    <w:p>
      <w:pPr>
        <w:spacing w:line="360" w:lineRule="auto"/>
        <w:ind w:firstLine="480" w:firstLineChars="200"/>
      </w:pPr>
      <w:r>
        <w:rPr>
          <w:rFonts w:hint="eastAsia" w:cs="宋体"/>
        </w:rPr>
        <w:t>本授权书声明：注册于（投标人住址）的（投标人名称）法定代表人（法定代表人姓名、职务）代表本公司授权在下面签字的（投标人代表姓名、职务）为本公司的合法代理人，就贵方组织的项目，招标编号：，以本公司名义处理一切与之有关的事务。</w:t>
      </w:r>
    </w:p>
    <w:p>
      <w:pPr>
        <w:spacing w:line="360" w:lineRule="auto"/>
      </w:pPr>
      <w:r>
        <w:t xml:space="preserve">    </w:t>
      </w:r>
      <w:r>
        <w:rPr>
          <w:rFonts w:hint="eastAsia" w:cs="宋体"/>
        </w:rPr>
        <w:t>本授权书于</w:t>
      </w:r>
      <w:r>
        <w:t xml:space="preserve">    </w:t>
      </w:r>
      <w:r>
        <w:rPr>
          <w:rFonts w:hint="eastAsia" w:cs="宋体"/>
        </w:rPr>
        <w:t>年</w:t>
      </w:r>
      <w:r>
        <w:t xml:space="preserve">  </w:t>
      </w:r>
      <w:r>
        <w:rPr>
          <w:rFonts w:hint="eastAsia" w:cs="宋体"/>
        </w:rPr>
        <w:t>月</w:t>
      </w:r>
      <w:r>
        <w:t xml:space="preserve">  </w:t>
      </w:r>
      <w:r>
        <w:rPr>
          <w:rFonts w:hint="eastAsia" w:cs="宋体"/>
        </w:rPr>
        <w:t>日签字生效，特此声明。</w:t>
      </w:r>
    </w:p>
    <w:p>
      <w:pPr>
        <w:spacing w:line="360" w:lineRule="auto"/>
      </w:pPr>
    </w:p>
    <w:p>
      <w:pPr>
        <w:spacing w:line="360" w:lineRule="auto"/>
        <w:ind w:firstLine="480" w:firstLineChars="200"/>
      </w:pPr>
      <w:r>
        <w:rPr>
          <w:rFonts w:hint="eastAsia" w:cs="宋体"/>
        </w:rPr>
        <w:t>法定代表人签字或签章：</w:t>
      </w:r>
    </w:p>
    <w:p>
      <w:pPr>
        <w:spacing w:line="360" w:lineRule="auto"/>
        <w:ind w:firstLine="480"/>
      </w:pPr>
      <w:r>
        <w:rPr>
          <w:rFonts w:hint="eastAsia" w:cs="宋体"/>
        </w:rPr>
        <w:t>投标人代表签字：</w:t>
      </w:r>
    </w:p>
    <w:p>
      <w:pPr>
        <w:spacing w:line="360" w:lineRule="auto"/>
        <w:ind w:firstLine="480"/>
      </w:pPr>
      <w:r>
        <w:rPr>
          <w:rFonts w:hint="eastAsia" w:cs="宋体"/>
        </w:rPr>
        <w:t>投标人全称并加盖投标人公章：</w:t>
      </w:r>
    </w:p>
    <w:p>
      <w:pPr>
        <w:spacing w:line="360" w:lineRule="auto"/>
        <w:ind w:firstLine="480" w:firstLineChars="200"/>
      </w:pPr>
    </w:p>
    <w:p>
      <w:r>
        <w:rPr>
          <w:rFonts w:hint="eastAsia" w:cs="宋体"/>
        </w:rPr>
        <w:t>附：法定代表人和投标人代表身份证复印件。</w:t>
      </w:r>
      <w:r>
        <w:br w:type="page"/>
      </w:r>
      <w:bookmarkEnd w:id="83"/>
    </w:p>
    <w:p>
      <w:pPr>
        <w:pStyle w:val="3"/>
        <w:numPr>
          <w:ilvl w:val="1"/>
          <w:numId w:val="0"/>
        </w:numPr>
        <w:spacing w:line="360" w:lineRule="exact"/>
        <w:jc w:val="center"/>
        <w:rPr>
          <w:rFonts w:ascii="Times New Roman" w:hAnsi="Times New Roman" w:eastAsia="宋体" w:cs="Times New Roman"/>
          <w:sz w:val="24"/>
          <w:szCs w:val="24"/>
        </w:rPr>
      </w:pPr>
      <w:bookmarkStart w:id="89" w:name="_Toc1429153"/>
      <w:bookmarkStart w:id="90" w:name="_Toc393092567"/>
      <w:bookmarkStart w:id="91" w:name="_Toc254790332"/>
      <w:bookmarkStart w:id="92" w:name="_Toc414523508"/>
      <w:bookmarkStart w:id="93" w:name="_Toc86202638"/>
      <w:r>
        <w:rPr>
          <w:rFonts w:hint="eastAsia" w:ascii="Times New Roman" w:hAnsi="Times New Roman" w:eastAsia="宋体" w:cs="宋体"/>
          <w:sz w:val="24"/>
          <w:szCs w:val="24"/>
        </w:rPr>
        <w:t>四、投标保证金</w:t>
      </w:r>
      <w:bookmarkEnd w:id="89"/>
    </w:p>
    <w:p>
      <w:pPr>
        <w:spacing w:line="400" w:lineRule="exact"/>
        <w:ind w:firstLine="360" w:firstLineChars="150"/>
        <w:rPr>
          <w:rFonts w:ascii="宋体"/>
        </w:rPr>
      </w:pPr>
      <w:r>
        <w:rPr>
          <w:rFonts w:ascii="宋体" w:hAnsi="宋体" w:cs="宋体"/>
        </w:rPr>
        <w:t>1</w:t>
      </w:r>
      <w:r>
        <w:rPr>
          <w:rFonts w:hint="eastAsia" w:ascii="宋体" w:hAnsi="宋体" w:cs="宋体"/>
        </w:rPr>
        <w:t>、投标保证金以现金形式递交的，应单独密封递交。</w:t>
      </w:r>
    </w:p>
    <w:p>
      <w:r>
        <w:br w:type="page"/>
      </w:r>
    </w:p>
    <w:p>
      <w:pPr>
        <w:pStyle w:val="3"/>
        <w:numPr>
          <w:ilvl w:val="1"/>
          <w:numId w:val="0"/>
        </w:numPr>
        <w:spacing w:line="360" w:lineRule="exact"/>
        <w:jc w:val="center"/>
        <w:rPr>
          <w:rFonts w:ascii="Times New Roman" w:hAnsi="Times New Roman" w:eastAsia="宋体" w:cs="Times New Roman"/>
          <w:sz w:val="24"/>
          <w:szCs w:val="24"/>
        </w:rPr>
      </w:pPr>
      <w:bookmarkStart w:id="94" w:name="_Toc1429154"/>
      <w:r>
        <w:rPr>
          <w:rFonts w:hint="eastAsia" w:ascii="Times New Roman" w:hAnsi="Times New Roman" w:eastAsia="宋体" w:cs="宋体"/>
          <w:sz w:val="24"/>
          <w:szCs w:val="24"/>
        </w:rPr>
        <w:t>五、投标人资格声明</w:t>
      </w:r>
      <w:bookmarkEnd w:id="90"/>
      <w:bookmarkEnd w:id="91"/>
      <w:bookmarkEnd w:id="92"/>
      <w:bookmarkEnd w:id="94"/>
    </w:p>
    <w:bookmarkEnd w:id="93"/>
    <w:p>
      <w:pPr>
        <w:spacing w:before="60" w:after="60" w:line="360" w:lineRule="exact"/>
      </w:pPr>
    </w:p>
    <w:p>
      <w:pPr>
        <w:spacing w:before="60" w:after="60" w:line="360" w:lineRule="exact"/>
      </w:pPr>
      <w:r>
        <w:t>1</w:t>
      </w:r>
      <w:r>
        <w:rPr>
          <w:rFonts w:hint="eastAsia" w:cs="宋体"/>
        </w:rPr>
        <w:t>、名称及基本情况：</w:t>
      </w:r>
    </w:p>
    <w:p>
      <w:pPr>
        <w:spacing w:before="100" w:after="100" w:line="360" w:lineRule="exact"/>
      </w:pPr>
      <w:r>
        <w:rPr>
          <w:rFonts w:hint="eastAsia" w:cs="宋体"/>
        </w:rPr>
        <w:t>（</w:t>
      </w:r>
      <w:r>
        <w:t>1</w:t>
      </w:r>
      <w:r>
        <w:rPr>
          <w:rFonts w:hint="eastAsia" w:cs="宋体"/>
        </w:rPr>
        <w:t>）投标人名称：</w:t>
      </w:r>
    </w:p>
    <w:p>
      <w:pPr>
        <w:tabs>
          <w:tab w:val="left" w:pos="4320"/>
        </w:tabs>
        <w:spacing w:before="100" w:after="100" w:line="360" w:lineRule="exact"/>
      </w:pPr>
      <w:r>
        <w:rPr>
          <w:rFonts w:hint="eastAsia" w:cs="宋体"/>
        </w:rPr>
        <w:t>（</w:t>
      </w:r>
      <w:r>
        <w:t>2</w:t>
      </w:r>
      <w:r>
        <w:rPr>
          <w:rFonts w:hint="eastAsia" w:cs="宋体"/>
        </w:rPr>
        <w:t>）地址：</w:t>
      </w:r>
      <w:r>
        <w:tab/>
      </w:r>
      <w:r>
        <w:rPr>
          <w:rFonts w:hint="eastAsia" w:cs="宋体"/>
        </w:rPr>
        <w:t>邮编：</w:t>
      </w:r>
    </w:p>
    <w:p>
      <w:pPr>
        <w:tabs>
          <w:tab w:val="left" w:pos="-3060"/>
        </w:tabs>
        <w:spacing w:before="100" w:after="100" w:line="360" w:lineRule="exact"/>
        <w:ind w:firstLine="600" w:firstLineChars="250"/>
      </w:pPr>
      <w:r>
        <w:rPr>
          <w:rFonts w:hint="eastAsia" w:cs="宋体"/>
        </w:rPr>
        <w:t>电话：</w:t>
      </w:r>
      <w:r>
        <w:t xml:space="preserve">   </w:t>
      </w:r>
      <w:r>
        <w:rPr>
          <w:rFonts w:hint="eastAsia" w:cs="宋体"/>
        </w:rPr>
        <w:t>传真：</w:t>
      </w:r>
    </w:p>
    <w:p>
      <w:pPr>
        <w:spacing w:before="100" w:after="100" w:line="360" w:lineRule="exact"/>
        <w:rPr>
          <w:u w:val="single"/>
        </w:rPr>
      </w:pPr>
      <w:r>
        <w:rPr>
          <w:rFonts w:hint="eastAsia" w:cs="宋体"/>
        </w:rPr>
        <w:t>（</w:t>
      </w:r>
      <w:r>
        <w:t>3</w:t>
      </w:r>
      <w:r>
        <w:rPr>
          <w:rFonts w:hint="eastAsia" w:cs="宋体"/>
        </w:rPr>
        <w:t>）成立和</w:t>
      </w:r>
      <w:r>
        <w:t>/</w:t>
      </w:r>
      <w:r>
        <w:rPr>
          <w:rFonts w:hint="eastAsia" w:cs="宋体"/>
        </w:rPr>
        <w:t>或注册日期：</w:t>
      </w:r>
    </w:p>
    <w:p>
      <w:pPr>
        <w:spacing w:before="100" w:after="100" w:line="360" w:lineRule="exact"/>
      </w:pPr>
      <w:r>
        <w:rPr>
          <w:rFonts w:hint="eastAsia" w:cs="宋体"/>
        </w:rPr>
        <w:t>（</w:t>
      </w:r>
      <w:r>
        <w:t>4</w:t>
      </w:r>
      <w:r>
        <w:rPr>
          <w:rFonts w:hint="eastAsia" w:cs="宋体"/>
        </w:rPr>
        <w:t>）企业性质：</w:t>
      </w:r>
    </w:p>
    <w:p>
      <w:pPr>
        <w:spacing w:before="100" w:after="100" w:line="360" w:lineRule="exact"/>
      </w:pPr>
      <w:r>
        <w:rPr>
          <w:rFonts w:hint="eastAsia" w:cs="宋体"/>
        </w:rPr>
        <w:t>（</w:t>
      </w:r>
      <w:r>
        <w:t>5</w:t>
      </w:r>
      <w:r>
        <w:rPr>
          <w:rFonts w:hint="eastAsia" w:cs="宋体"/>
        </w:rPr>
        <w:t>）法定代表人或主要负责人：</w:t>
      </w:r>
    </w:p>
    <w:p>
      <w:pPr>
        <w:spacing w:before="100" w:after="100" w:line="360" w:lineRule="exact"/>
        <w:rPr>
          <w:u w:val="single"/>
        </w:rPr>
      </w:pPr>
      <w:r>
        <w:rPr>
          <w:rFonts w:hint="eastAsia" w:cs="宋体"/>
        </w:rPr>
        <w:t>（</w:t>
      </w:r>
      <w:r>
        <w:t>6</w:t>
      </w:r>
      <w:r>
        <w:rPr>
          <w:rFonts w:hint="eastAsia" w:cs="宋体"/>
        </w:rPr>
        <w:t>）职员人数：</w:t>
      </w:r>
    </w:p>
    <w:p>
      <w:pPr>
        <w:spacing w:before="100" w:after="100" w:line="360" w:lineRule="exact"/>
        <w:rPr>
          <w:u w:val="single"/>
        </w:rPr>
      </w:pPr>
      <w:r>
        <w:rPr>
          <w:rFonts w:hint="eastAsia" w:cs="宋体"/>
        </w:rPr>
        <w:t>（</w:t>
      </w:r>
      <w:r>
        <w:t>7</w:t>
      </w:r>
      <w:r>
        <w:rPr>
          <w:rFonts w:hint="eastAsia" w:cs="宋体"/>
        </w:rPr>
        <w:t>）注册资本：</w:t>
      </w:r>
    </w:p>
    <w:p>
      <w:pPr>
        <w:spacing w:before="100" w:after="100" w:line="360" w:lineRule="exact"/>
        <w:rPr>
          <w:u w:val="single"/>
        </w:rPr>
      </w:pPr>
      <w:r>
        <w:rPr>
          <w:rFonts w:hint="eastAsia" w:cs="宋体"/>
        </w:rPr>
        <w:t>（</w:t>
      </w:r>
      <w:r>
        <w:t>8</w:t>
      </w:r>
      <w:r>
        <w:rPr>
          <w:rFonts w:hint="eastAsia" w:cs="宋体"/>
        </w:rPr>
        <w:t>）实收资本：</w:t>
      </w:r>
    </w:p>
    <w:p>
      <w:pPr>
        <w:spacing w:before="100" w:after="100" w:line="360" w:lineRule="exact"/>
      </w:pPr>
      <w:r>
        <w:rPr>
          <w:rFonts w:hint="eastAsia" w:cs="宋体"/>
        </w:rPr>
        <w:t>（</w:t>
      </w:r>
      <w:r>
        <w:t>9</w:t>
      </w:r>
      <w:r>
        <w:rPr>
          <w:rFonts w:hint="eastAsia" w:cs="宋体"/>
        </w:rPr>
        <w:t>）近一年资产负债表：</w:t>
      </w:r>
    </w:p>
    <w:p>
      <w:pPr>
        <w:spacing w:before="100" w:after="100" w:line="360" w:lineRule="exact"/>
        <w:ind w:firstLine="602"/>
      </w:pPr>
      <w:r>
        <w:t xml:space="preserve">&lt;1&gt; </w:t>
      </w:r>
      <w:r>
        <w:rPr>
          <w:rFonts w:hint="eastAsia" w:cs="宋体"/>
        </w:rPr>
        <w:t>固定资产：</w:t>
      </w:r>
    </w:p>
    <w:p>
      <w:pPr>
        <w:spacing w:before="100" w:after="100" w:line="360" w:lineRule="exact"/>
        <w:ind w:firstLine="602"/>
      </w:pPr>
      <w:r>
        <w:t xml:space="preserve">        </w:t>
      </w:r>
      <w:r>
        <w:rPr>
          <w:rFonts w:hint="eastAsia" w:cs="宋体"/>
        </w:rPr>
        <w:t>原值：</w:t>
      </w:r>
    </w:p>
    <w:p>
      <w:pPr>
        <w:spacing w:before="100" w:after="100" w:line="360" w:lineRule="exact"/>
        <w:ind w:firstLine="602"/>
      </w:pPr>
      <w:r>
        <w:t xml:space="preserve">        </w:t>
      </w:r>
      <w:r>
        <w:rPr>
          <w:rFonts w:hint="eastAsia" w:cs="宋体"/>
        </w:rPr>
        <w:t>净值：</w:t>
      </w:r>
    </w:p>
    <w:p>
      <w:pPr>
        <w:spacing w:before="100" w:after="100" w:line="360" w:lineRule="exact"/>
        <w:ind w:firstLine="602"/>
      </w:pPr>
      <w:r>
        <w:t xml:space="preserve">&lt;2&gt; </w:t>
      </w:r>
      <w:r>
        <w:rPr>
          <w:rFonts w:hint="eastAsia" w:cs="宋体"/>
        </w:rPr>
        <w:t>流动资金：</w:t>
      </w:r>
    </w:p>
    <w:p>
      <w:pPr>
        <w:spacing w:before="100" w:after="100" w:line="360" w:lineRule="exact"/>
        <w:ind w:firstLine="602"/>
      </w:pPr>
      <w:r>
        <w:t xml:space="preserve">&lt;3&gt; </w:t>
      </w:r>
      <w:r>
        <w:rPr>
          <w:rFonts w:hint="eastAsia" w:cs="宋体"/>
        </w:rPr>
        <w:t>长期负债：</w:t>
      </w:r>
    </w:p>
    <w:p>
      <w:pPr>
        <w:spacing w:before="100" w:after="100" w:line="360" w:lineRule="exact"/>
        <w:ind w:firstLine="602"/>
      </w:pPr>
      <w:r>
        <w:t xml:space="preserve">&lt;4&gt; </w:t>
      </w:r>
      <w:r>
        <w:rPr>
          <w:rFonts w:hint="eastAsia" w:cs="宋体"/>
        </w:rPr>
        <w:t>短期负债：</w:t>
      </w:r>
    </w:p>
    <w:p>
      <w:pPr>
        <w:spacing w:before="100" w:after="100" w:line="360" w:lineRule="exact"/>
      </w:pPr>
      <w:r>
        <w:t>2</w:t>
      </w:r>
      <w:r>
        <w:rPr>
          <w:rFonts w:hint="eastAsia" w:cs="宋体"/>
        </w:rPr>
        <w:t>、与投标服务有关的情况：</w:t>
      </w:r>
      <w:r>
        <w:t xml:space="preserve"> </w:t>
      </w:r>
    </w:p>
    <w:p>
      <w:pPr>
        <w:spacing w:before="100" w:after="100" w:line="360" w:lineRule="exact"/>
        <w:rPr>
          <w:u w:val="single"/>
        </w:rPr>
      </w:pPr>
      <w:r>
        <w:rPr>
          <w:rFonts w:hint="eastAsia" w:cs="宋体"/>
        </w:rPr>
        <w:t>（</w:t>
      </w:r>
      <w:r>
        <w:t>1</w:t>
      </w:r>
      <w:r>
        <w:rPr>
          <w:rFonts w:hint="eastAsia" w:cs="宋体"/>
        </w:rPr>
        <w:t>）当前主要业务情况：</w:t>
      </w:r>
    </w:p>
    <w:p>
      <w:pPr>
        <w:spacing w:before="100" w:after="100" w:line="360" w:lineRule="exact"/>
        <w:rPr>
          <w:u w:val="single"/>
        </w:rPr>
      </w:pPr>
      <w:r>
        <w:rPr>
          <w:rFonts w:hint="eastAsia" w:cs="宋体"/>
        </w:rPr>
        <w:t>（</w:t>
      </w:r>
      <w:r>
        <w:t>2</w:t>
      </w:r>
      <w:r>
        <w:rPr>
          <w:rFonts w:hint="eastAsia" w:cs="宋体"/>
        </w:rPr>
        <w:t>）实施过相同复杂程度项目的情况：</w:t>
      </w:r>
    </w:p>
    <w:p>
      <w:pPr>
        <w:spacing w:before="100" w:after="100" w:line="360" w:lineRule="exact"/>
      </w:pPr>
      <w:r>
        <w:t>3</w:t>
      </w:r>
      <w:r>
        <w:rPr>
          <w:rFonts w:hint="eastAsia" w:cs="宋体"/>
        </w:rPr>
        <w:t>、投标人认为需要声明的其他情况：</w:t>
      </w:r>
    </w:p>
    <w:p>
      <w:pPr>
        <w:spacing w:line="360" w:lineRule="exact"/>
        <w:ind w:firstLine="360" w:firstLineChars="150"/>
        <w:jc w:val="both"/>
      </w:pPr>
    </w:p>
    <w:p>
      <w:pPr>
        <w:spacing w:before="100" w:after="100" w:line="360" w:lineRule="exact"/>
      </w:pPr>
      <w:r>
        <w:t xml:space="preserve">    </w:t>
      </w:r>
      <w:r>
        <w:rPr>
          <w:rFonts w:hint="eastAsia" w:cs="宋体"/>
        </w:rPr>
        <w:t>兹证明上述声明是真实的、正确的，并提供了全部能提供的资料和数据，我们同意遵照贵方要求出示有关证明文件。</w:t>
      </w:r>
    </w:p>
    <w:p>
      <w:pPr>
        <w:spacing w:before="100" w:after="100" w:line="360" w:lineRule="exact"/>
      </w:pPr>
      <w:r>
        <w:t xml:space="preserve">        </w:t>
      </w:r>
      <w:r>
        <w:rPr>
          <w:rFonts w:hint="eastAsia" w:cs="宋体"/>
        </w:rPr>
        <w:t>投标人公章：</w:t>
      </w:r>
    </w:p>
    <w:p>
      <w:pPr>
        <w:spacing w:before="100" w:after="100" w:line="360" w:lineRule="exact"/>
        <w:rPr>
          <w:u w:val="single"/>
        </w:rPr>
      </w:pPr>
      <w:r>
        <w:t xml:space="preserve">        </w:t>
      </w:r>
      <w:r>
        <w:rPr>
          <w:rFonts w:hint="eastAsia" w:cs="宋体"/>
        </w:rPr>
        <w:t>投标人代表签字：</w:t>
      </w:r>
    </w:p>
    <w:p>
      <w:pPr>
        <w:spacing w:before="100" w:after="100" w:line="360" w:lineRule="exact"/>
      </w:pPr>
      <w:r>
        <w:tab/>
      </w:r>
      <w:r>
        <w:tab/>
      </w:r>
      <w:r>
        <w:t xml:space="preserve"> </w:t>
      </w:r>
      <w:r>
        <w:rPr>
          <w:rFonts w:hint="eastAsia" w:cs="宋体"/>
        </w:rPr>
        <w:t>日期：年月日</w:t>
      </w:r>
    </w:p>
    <w:p>
      <w:pPr>
        <w:pStyle w:val="3"/>
        <w:numPr>
          <w:ilvl w:val="1"/>
          <w:numId w:val="0"/>
        </w:numPr>
        <w:spacing w:line="360" w:lineRule="auto"/>
        <w:jc w:val="center"/>
        <w:rPr>
          <w:rFonts w:ascii="Times New Roman" w:hAnsi="Times New Roman" w:eastAsia="宋体" w:cs="Times New Roman"/>
          <w:sz w:val="24"/>
          <w:szCs w:val="24"/>
        </w:rPr>
        <w:sectPr>
          <w:headerReference r:id="rId6" w:type="first"/>
          <w:headerReference r:id="rId5" w:type="default"/>
          <w:footerReference r:id="rId7" w:type="default"/>
          <w:pgSz w:w="11906" w:h="16838"/>
          <w:pgMar w:top="1418" w:right="1418" w:bottom="1418" w:left="1588" w:header="851" w:footer="851" w:gutter="0"/>
          <w:pgNumType w:start="1"/>
          <w:cols w:space="720" w:num="1"/>
          <w:titlePg/>
          <w:docGrid w:type="lines" w:linePitch="312" w:charSpace="0"/>
        </w:sectPr>
      </w:pPr>
      <w:bookmarkStart w:id="95" w:name="_Toc86202636"/>
      <w:bookmarkStart w:id="96" w:name="_Toc86202651"/>
    </w:p>
    <w:p>
      <w:bookmarkStart w:id="97" w:name="_Toc414523509"/>
    </w:p>
    <w:p>
      <w:pPr>
        <w:pStyle w:val="3"/>
        <w:numPr>
          <w:ilvl w:val="1"/>
          <w:numId w:val="0"/>
        </w:numPr>
        <w:spacing w:line="360" w:lineRule="auto"/>
        <w:jc w:val="center"/>
        <w:rPr>
          <w:rFonts w:ascii="宋体" w:hAnsi="宋体" w:eastAsia="宋体" w:cs="Times New Roman"/>
          <w:sz w:val="24"/>
          <w:szCs w:val="24"/>
        </w:rPr>
      </w:pPr>
      <w:bookmarkStart w:id="98" w:name="_Toc1429155"/>
      <w:r>
        <w:rPr>
          <w:rFonts w:hint="eastAsia" w:ascii="Times New Roman" w:hAnsi="Times New Roman" w:eastAsia="宋体" w:cs="宋体"/>
          <w:sz w:val="24"/>
          <w:szCs w:val="24"/>
        </w:rPr>
        <w:t>六、</w:t>
      </w:r>
      <w:r>
        <w:rPr>
          <w:rFonts w:hint="eastAsia" w:ascii="宋体" w:hAnsi="宋体" w:eastAsia="宋体" w:cs="宋体"/>
          <w:sz w:val="24"/>
          <w:szCs w:val="24"/>
        </w:rPr>
        <w:t>参加此项采购活动前三年内，在经营活动中没有重大违法记录声明</w:t>
      </w:r>
      <w:bookmarkEnd w:id="98"/>
    </w:p>
    <w:p/>
    <w:p>
      <w:pPr>
        <w:widowControl/>
        <w:snapToGrid w:val="0"/>
        <w:spacing w:beforeLines="50" w:line="360" w:lineRule="auto"/>
        <w:ind w:firstLine="480" w:firstLineChars="200"/>
        <w:rPr>
          <w:rFonts w:ascii="宋体"/>
        </w:rPr>
      </w:pPr>
      <w:bookmarkStart w:id="99" w:name="_Toc424544637"/>
      <w:r>
        <w:rPr>
          <w:rFonts w:hint="eastAsia" w:ascii="宋体" w:hAnsi="宋体" w:cs="宋体"/>
        </w:rPr>
        <w:t>致：甘肃警察职业学院</w:t>
      </w:r>
      <w:bookmarkEnd w:id="99"/>
    </w:p>
    <w:p>
      <w:pPr>
        <w:widowControl/>
        <w:snapToGrid w:val="0"/>
        <w:spacing w:beforeLines="50" w:line="360" w:lineRule="auto"/>
        <w:ind w:firstLine="480" w:firstLineChars="200"/>
        <w:rPr>
          <w:rFonts w:ascii="宋体"/>
        </w:rPr>
      </w:pPr>
      <w:r>
        <w:rPr>
          <w:rFonts w:hint="eastAsia" w:ascii="宋体" w:hAnsi="宋体" w:cs="宋体"/>
        </w:rPr>
        <w:t>我单位在参加此项采购活动前三年内，没有因违法经营受到刑事处罚或者责令停产停业、吊销许可证或者执照、较大数额罚款等行政处罚。</w:t>
      </w:r>
    </w:p>
    <w:p>
      <w:pPr>
        <w:widowControl/>
        <w:snapToGrid w:val="0"/>
        <w:spacing w:beforeLines="50" w:line="360" w:lineRule="auto"/>
        <w:ind w:firstLine="480" w:firstLineChars="200"/>
        <w:rPr>
          <w:rFonts w:ascii="宋体"/>
        </w:rPr>
      </w:pPr>
      <w:r>
        <w:rPr>
          <w:rFonts w:hint="eastAsia" w:ascii="宋体" w:hAnsi="宋体" w:cs="宋体"/>
        </w:rPr>
        <w:t>特此声明！</w:t>
      </w:r>
    </w:p>
    <w:p>
      <w:pPr>
        <w:widowControl/>
        <w:snapToGrid w:val="0"/>
        <w:spacing w:beforeLines="50" w:line="360" w:lineRule="auto"/>
        <w:ind w:firstLine="420"/>
        <w:rPr>
          <w:rFonts w:ascii="宋体"/>
        </w:rPr>
      </w:pPr>
    </w:p>
    <w:p>
      <w:pPr>
        <w:widowControl/>
        <w:snapToGrid w:val="0"/>
        <w:spacing w:beforeLines="50" w:line="360" w:lineRule="auto"/>
        <w:ind w:firstLine="420"/>
        <w:rPr>
          <w:rFonts w:ascii="宋体"/>
        </w:rPr>
      </w:pPr>
    </w:p>
    <w:p>
      <w:pPr>
        <w:spacing w:before="100" w:after="100" w:line="360" w:lineRule="exact"/>
      </w:pPr>
      <w:r>
        <w:t xml:space="preserve">        </w:t>
      </w:r>
      <w:r>
        <w:rPr>
          <w:rFonts w:hint="eastAsia" w:cs="宋体"/>
        </w:rPr>
        <w:t>投标人公章：</w:t>
      </w:r>
    </w:p>
    <w:p>
      <w:pPr>
        <w:spacing w:before="100" w:after="100" w:line="360" w:lineRule="exact"/>
        <w:rPr>
          <w:u w:val="single"/>
        </w:rPr>
      </w:pPr>
      <w:r>
        <w:t xml:space="preserve">        </w:t>
      </w:r>
      <w:r>
        <w:rPr>
          <w:rFonts w:hint="eastAsia" w:cs="宋体"/>
        </w:rPr>
        <w:t>投标人代表签字：</w:t>
      </w:r>
    </w:p>
    <w:p>
      <w:pPr>
        <w:spacing w:before="100" w:after="100" w:line="360" w:lineRule="exact"/>
      </w:pPr>
      <w:r>
        <w:tab/>
      </w:r>
      <w:r>
        <w:tab/>
      </w:r>
      <w:r>
        <w:t xml:space="preserve"> </w:t>
      </w:r>
      <w:r>
        <w:rPr>
          <w:rFonts w:hint="eastAsia" w:cs="宋体"/>
        </w:rPr>
        <w:t>日期：年月日</w:t>
      </w:r>
    </w:p>
    <w:p/>
    <w:p>
      <w:r>
        <w:br w:type="page"/>
      </w:r>
    </w:p>
    <w:p>
      <w:pPr>
        <w:pStyle w:val="3"/>
        <w:numPr>
          <w:ilvl w:val="1"/>
          <w:numId w:val="0"/>
        </w:numPr>
        <w:spacing w:line="360" w:lineRule="auto"/>
        <w:jc w:val="center"/>
        <w:rPr>
          <w:rFonts w:ascii="Times New Roman" w:hAnsi="Times New Roman" w:eastAsia="宋体" w:cs="Times New Roman"/>
          <w:sz w:val="24"/>
          <w:szCs w:val="24"/>
        </w:rPr>
      </w:pPr>
      <w:bookmarkStart w:id="100" w:name="_Toc414523511"/>
      <w:bookmarkStart w:id="101" w:name="_Toc1429156"/>
      <w:bookmarkStart w:id="102" w:name="_Toc393092570"/>
      <w:r>
        <w:rPr>
          <w:rFonts w:hint="eastAsia" w:ascii="Times New Roman" w:hAnsi="Times New Roman" w:eastAsia="宋体" w:cs="宋体"/>
          <w:kern w:val="2"/>
          <w:sz w:val="24"/>
          <w:szCs w:val="24"/>
        </w:rPr>
        <w:t>七、</w:t>
      </w:r>
      <w:r>
        <w:rPr>
          <w:rFonts w:hint="eastAsia" w:ascii="宋体" w:hAnsi="宋体" w:eastAsia="宋体" w:cs="宋体"/>
          <w:kern w:val="2"/>
          <w:sz w:val="24"/>
          <w:szCs w:val="24"/>
        </w:rPr>
        <w:t>中小企业声明函</w:t>
      </w:r>
      <w:bookmarkEnd w:id="100"/>
      <w:bookmarkEnd w:id="101"/>
      <w:bookmarkEnd w:id="102"/>
    </w:p>
    <w:p>
      <w:pPr>
        <w:spacing w:line="588" w:lineRule="exact"/>
        <w:ind w:firstLine="504" w:firstLineChars="200"/>
        <w:jc w:val="both"/>
        <w:rPr>
          <w:rFonts w:ascii="宋体"/>
          <w:spacing w:val="6"/>
        </w:rPr>
      </w:pPr>
      <w:r>
        <w:rPr>
          <w:rFonts w:hint="eastAsia" w:ascii="宋体" w:hAnsi="宋体" w:cs="宋体"/>
          <w:spacing w:val="6"/>
        </w:rPr>
        <w:t>本公司郑重声明，根据《政府采购促进中小企业发展暂行办法》（财库</w:t>
      </w:r>
      <w:r>
        <w:rPr>
          <w:rFonts w:ascii="宋体" w:hAnsi="宋体" w:cs="宋体"/>
          <w:spacing w:val="6"/>
        </w:rPr>
        <w:t>[2011]181</w:t>
      </w:r>
      <w:r>
        <w:rPr>
          <w:rFonts w:hint="eastAsia" w:ascii="宋体" w:hAnsi="宋体" w:cs="宋体"/>
          <w:spacing w:val="6"/>
        </w:rPr>
        <w:t>号）的规定，本公司为</w:t>
      </w:r>
      <w:bookmarkStart w:id="103" w:name="OLE_LINK5"/>
      <w:bookmarkStart w:id="104" w:name="OLE_LINK2"/>
      <w:r>
        <w:rPr>
          <w:rFonts w:ascii="宋体" w:hAnsi="宋体" w:cs="宋体"/>
          <w:spacing w:val="6"/>
        </w:rPr>
        <w:t>______</w:t>
      </w:r>
      <w:r>
        <w:rPr>
          <w:rFonts w:hint="eastAsia" w:ascii="宋体" w:hAnsi="宋体" w:cs="宋体"/>
          <w:spacing w:val="6"/>
        </w:rPr>
        <w:t>（请填写：中型、小型、微型）企业</w:t>
      </w:r>
      <w:bookmarkEnd w:id="103"/>
      <w:bookmarkEnd w:id="104"/>
      <w:r>
        <w:rPr>
          <w:rFonts w:hint="eastAsia" w:ascii="宋体" w:hAnsi="宋体" w:cs="宋体"/>
          <w:spacing w:val="6"/>
        </w:rPr>
        <w:t>。即，本公司同时满足以下条件：</w:t>
      </w:r>
    </w:p>
    <w:p>
      <w:pPr>
        <w:spacing w:line="588" w:lineRule="exact"/>
        <w:ind w:firstLine="504" w:firstLineChars="200"/>
        <w:jc w:val="both"/>
        <w:rPr>
          <w:rFonts w:ascii="宋体"/>
          <w:spacing w:val="6"/>
        </w:rPr>
      </w:pPr>
      <w:r>
        <w:rPr>
          <w:rFonts w:ascii="宋体" w:hAnsi="宋体" w:cs="宋体"/>
          <w:spacing w:val="6"/>
        </w:rPr>
        <w:t>1.</w:t>
      </w:r>
      <w:r>
        <w:rPr>
          <w:rFonts w:hint="eastAsia" w:ascii="宋体" w:hAnsi="宋体" w:cs="宋体"/>
          <w:spacing w:val="6"/>
        </w:rPr>
        <w:t>根据《工业和信息化部、国家统计局、国家发展和改革委员会、财政部关于印发中小企业划型标准规定的通知》（工信部联企业</w:t>
      </w:r>
      <w:r>
        <w:rPr>
          <w:rFonts w:ascii="宋体" w:hAnsi="宋体" w:cs="宋体"/>
          <w:spacing w:val="6"/>
        </w:rPr>
        <w:t>[2011]300</w:t>
      </w:r>
      <w:r>
        <w:rPr>
          <w:rFonts w:hint="eastAsia" w:ascii="宋体" w:hAnsi="宋体" w:cs="宋体"/>
          <w:spacing w:val="6"/>
        </w:rPr>
        <w:t>号）规定的划分标准，本公司为</w:t>
      </w:r>
      <w:r>
        <w:rPr>
          <w:rFonts w:ascii="宋体" w:hAnsi="宋体" w:cs="宋体"/>
          <w:spacing w:val="6"/>
        </w:rPr>
        <w:t>______</w:t>
      </w:r>
      <w:r>
        <w:rPr>
          <w:rFonts w:hint="eastAsia" w:ascii="宋体" w:hAnsi="宋体" w:cs="宋体"/>
          <w:spacing w:val="6"/>
        </w:rPr>
        <w:t>（请填写：中型、小型、微型）企业。</w:t>
      </w:r>
    </w:p>
    <w:p>
      <w:pPr>
        <w:spacing w:line="588" w:lineRule="exact"/>
        <w:ind w:firstLine="504" w:firstLineChars="200"/>
        <w:jc w:val="both"/>
        <w:rPr>
          <w:rFonts w:ascii="宋体"/>
          <w:spacing w:val="6"/>
        </w:rPr>
      </w:pPr>
      <w:r>
        <w:rPr>
          <w:rFonts w:ascii="宋体" w:hAnsi="宋体" w:cs="宋体"/>
          <w:spacing w:val="6"/>
        </w:rPr>
        <w:t>2.</w:t>
      </w:r>
      <w:r>
        <w:rPr>
          <w:rFonts w:hint="eastAsia" w:ascii="宋体" w:hAnsi="宋体" w:cs="宋体"/>
          <w:spacing w:val="6"/>
        </w:rPr>
        <w:t>本公司参加</w:t>
      </w:r>
      <w:r>
        <w:rPr>
          <w:rFonts w:hint="eastAsia" w:ascii="宋体" w:hAnsi="宋体" w:cs="宋体"/>
          <w:spacing w:val="6"/>
          <w:u w:val="single"/>
        </w:rPr>
        <w:t>甘肃警察职业学院信息化运维服务外包项目</w:t>
      </w:r>
      <w:r>
        <w:rPr>
          <w:rFonts w:hint="eastAsia" w:ascii="宋体" w:hAnsi="宋体" w:cs="宋体"/>
          <w:spacing w:val="6"/>
        </w:rPr>
        <w:t>提供本企业制造的货物，由本企业承担工程、提供服务，或者提供其他</w:t>
      </w:r>
      <w:r>
        <w:rPr>
          <w:rFonts w:ascii="宋体" w:hAnsi="宋体" w:cs="宋体"/>
          <w:spacing w:val="6"/>
        </w:rPr>
        <w:t>______</w:t>
      </w:r>
      <w:r>
        <w:rPr>
          <w:rFonts w:hint="eastAsia" w:ascii="宋体" w:hAnsi="宋体" w:cs="宋体"/>
          <w:spacing w:val="6"/>
        </w:rPr>
        <w:t>（请填写：中型、小型、微型）企业制造的货物。本条所称货物不包括使用大型企业注册商标的货物。</w:t>
      </w:r>
    </w:p>
    <w:p>
      <w:pPr>
        <w:spacing w:line="588" w:lineRule="exact"/>
        <w:ind w:firstLine="504" w:firstLineChars="200"/>
        <w:jc w:val="both"/>
        <w:rPr>
          <w:rFonts w:ascii="宋体"/>
          <w:spacing w:val="6"/>
        </w:rPr>
      </w:pPr>
      <w:r>
        <w:rPr>
          <w:rFonts w:hint="eastAsia" w:ascii="宋体" w:hAnsi="宋体" w:cs="宋体"/>
          <w:spacing w:val="6"/>
        </w:rPr>
        <w:t>本公司对上述声明的真实性负责。如有虚假，将依法承担相应责任。</w:t>
      </w:r>
    </w:p>
    <w:p>
      <w:pPr>
        <w:spacing w:line="588" w:lineRule="exact"/>
        <w:ind w:firstLine="504" w:firstLineChars="200"/>
        <w:rPr>
          <w:rFonts w:ascii="宋体"/>
          <w:spacing w:val="6"/>
        </w:rPr>
      </w:pPr>
    </w:p>
    <w:p>
      <w:pPr>
        <w:spacing w:line="588" w:lineRule="exact"/>
        <w:ind w:firstLine="504" w:firstLineChars="200"/>
        <w:rPr>
          <w:rFonts w:ascii="宋体"/>
          <w:spacing w:val="6"/>
        </w:rPr>
      </w:pPr>
    </w:p>
    <w:p>
      <w:pPr>
        <w:tabs>
          <w:tab w:val="left" w:pos="4860"/>
        </w:tabs>
        <w:spacing w:line="588" w:lineRule="exact"/>
        <w:ind w:right="1560" w:firstLine="504" w:firstLineChars="200"/>
        <w:jc w:val="center"/>
        <w:rPr>
          <w:rFonts w:ascii="宋体"/>
          <w:spacing w:val="6"/>
        </w:rPr>
      </w:pPr>
      <w:r>
        <w:rPr>
          <w:rFonts w:ascii="宋体" w:hAnsi="宋体" w:cs="宋体"/>
          <w:spacing w:val="6"/>
        </w:rPr>
        <w:t xml:space="preserve">               </w:t>
      </w:r>
      <w:r>
        <w:rPr>
          <w:rFonts w:hint="eastAsia" w:ascii="宋体" w:hAnsi="宋体" w:cs="宋体"/>
          <w:spacing w:val="6"/>
        </w:rPr>
        <w:t>企业名称（盖章）：</w:t>
      </w:r>
      <w:r>
        <w:rPr>
          <w:rFonts w:ascii="宋体" w:hAnsi="宋体" w:cs="宋体"/>
          <w:spacing w:val="6"/>
        </w:rPr>
        <w:t xml:space="preserve"> </w:t>
      </w:r>
    </w:p>
    <w:p>
      <w:r>
        <w:tab/>
      </w:r>
      <w:r>
        <w:tab/>
      </w:r>
      <w:r>
        <w:tab/>
      </w:r>
      <w:r>
        <w:tab/>
      </w:r>
      <w:r>
        <w:tab/>
      </w:r>
      <w:r>
        <w:tab/>
      </w:r>
      <w:r>
        <w:tab/>
      </w:r>
    </w:p>
    <w:p>
      <w:pPr>
        <w:sectPr>
          <w:footerReference r:id="rId8" w:type="default"/>
          <w:footnotePr>
            <w:numRestart w:val="eachPage"/>
          </w:footnotePr>
          <w:pgSz w:w="11906" w:h="16838"/>
          <w:pgMar w:top="1418" w:right="1588" w:bottom="1418" w:left="1418" w:header="851" w:footer="907" w:gutter="0"/>
          <w:pgNumType w:start="42"/>
          <w:cols w:space="720" w:num="1"/>
          <w:docGrid w:type="lines" w:linePitch="311" w:charSpace="-47"/>
        </w:sectPr>
      </w:pPr>
      <w:r>
        <w:t xml:space="preserve">                                </w:t>
      </w:r>
      <w:r>
        <w:rPr>
          <w:rFonts w:hint="eastAsia" w:cs="宋体"/>
        </w:rPr>
        <w:t>日</w:t>
      </w:r>
      <w:r>
        <w:t xml:space="preserve">  </w:t>
      </w:r>
      <w:r>
        <w:rPr>
          <w:rFonts w:hint="eastAsia" w:cs="宋体"/>
        </w:rPr>
        <w:t>期：</w:t>
      </w:r>
      <w:r>
        <w:t xml:space="preserve">            </w:t>
      </w:r>
    </w:p>
    <w:p/>
    <w:p>
      <w:pPr>
        <w:pStyle w:val="3"/>
        <w:numPr>
          <w:ilvl w:val="1"/>
          <w:numId w:val="0"/>
        </w:numPr>
        <w:spacing w:line="360" w:lineRule="auto"/>
        <w:jc w:val="center"/>
        <w:rPr>
          <w:rFonts w:ascii="Times New Roman" w:hAnsi="Times New Roman" w:eastAsia="宋体" w:cs="Times New Roman"/>
          <w:sz w:val="24"/>
          <w:szCs w:val="24"/>
        </w:rPr>
      </w:pPr>
      <w:bookmarkStart w:id="105" w:name="_Toc1429157"/>
      <w:r>
        <w:rPr>
          <w:rFonts w:hint="eastAsia" w:ascii="Times New Roman" w:hAnsi="Times New Roman" w:eastAsia="宋体" w:cs="宋体"/>
          <w:sz w:val="24"/>
          <w:szCs w:val="24"/>
        </w:rPr>
        <w:t>八、开标一览表</w:t>
      </w:r>
      <w:bookmarkEnd w:id="97"/>
      <w:bookmarkEnd w:id="105"/>
    </w:p>
    <w:p>
      <w:pPr>
        <w:spacing w:line="360" w:lineRule="auto"/>
      </w:pPr>
      <w:r>
        <w:rPr>
          <w:rFonts w:hint="eastAsia" w:cs="宋体"/>
        </w:rPr>
        <w:t>项目名称：</w:t>
      </w:r>
    </w:p>
    <w:p>
      <w:pPr>
        <w:spacing w:line="360" w:lineRule="auto"/>
        <w:rPr>
          <w:u w:val="single"/>
        </w:rPr>
      </w:pPr>
      <w:r>
        <w:rPr>
          <w:rFonts w:hint="eastAsia" w:cs="宋体"/>
        </w:rPr>
        <w:t>招标编号：</w:t>
      </w:r>
    </w:p>
    <w:p>
      <w:pPr>
        <w:spacing w:line="360" w:lineRule="auto"/>
        <w:rPr>
          <w:u w:val="single"/>
        </w:rPr>
      </w:pPr>
      <w:r>
        <w:rPr>
          <w:rFonts w:hint="eastAsia" w:cs="宋体"/>
        </w:rPr>
        <w:t>投标人名称：</w:t>
      </w:r>
      <w:r>
        <w:t xml:space="preserve">  </w:t>
      </w:r>
    </w:p>
    <w:p>
      <w:pPr>
        <w:spacing w:line="360" w:lineRule="auto"/>
        <w:rPr>
          <w:u w:val="single"/>
        </w:rPr>
      </w:pPr>
    </w:p>
    <w:tbl>
      <w:tblPr>
        <w:tblStyle w:val="34"/>
        <w:tblW w:w="8875"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3626"/>
        <w:gridCol w:w="3603"/>
        <w:gridCol w:w="164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688" w:hRule="atLeast"/>
          <w:jc w:val="center"/>
        </w:trPr>
        <w:tc>
          <w:tcPr>
            <w:tcW w:w="3626" w:type="dxa"/>
            <w:vAlign w:val="center"/>
          </w:tcPr>
          <w:p>
            <w:pPr>
              <w:spacing w:before="120"/>
              <w:jc w:val="center"/>
              <w:rPr>
                <w:rFonts w:ascii="宋体"/>
              </w:rPr>
            </w:pPr>
            <w:r>
              <w:rPr>
                <w:rFonts w:hint="eastAsia" w:ascii="宋体" w:hAnsi="宋体" w:cs="宋体"/>
              </w:rPr>
              <w:t>服务内容</w:t>
            </w:r>
          </w:p>
        </w:tc>
        <w:tc>
          <w:tcPr>
            <w:tcW w:w="3603" w:type="dxa"/>
            <w:vAlign w:val="center"/>
          </w:tcPr>
          <w:p>
            <w:pPr>
              <w:spacing w:before="120"/>
              <w:jc w:val="center"/>
              <w:rPr>
                <w:rFonts w:ascii="宋体"/>
              </w:rPr>
            </w:pPr>
            <w:r>
              <w:rPr>
                <w:rFonts w:hint="eastAsia" w:ascii="宋体" w:hAnsi="宋体" w:cs="宋体"/>
              </w:rPr>
              <w:t>投标报价（人民币元）</w:t>
            </w:r>
          </w:p>
        </w:tc>
        <w:tc>
          <w:tcPr>
            <w:tcW w:w="1646" w:type="dxa"/>
            <w:vAlign w:val="center"/>
          </w:tcPr>
          <w:p>
            <w:pPr>
              <w:spacing w:before="120"/>
              <w:jc w:val="center"/>
              <w:rPr>
                <w:rFonts w:ascii="宋体"/>
              </w:rPr>
            </w:pPr>
            <w:r>
              <w:rPr>
                <w:rFonts w:hint="eastAsia" w:ascii="宋体" w:hAnsi="宋体" w:cs="宋体"/>
              </w:rPr>
              <w:t>备</w:t>
            </w:r>
            <w:r>
              <w:rPr>
                <w:rFonts w:ascii="宋体" w:hAnsi="宋体" w:cs="宋体"/>
              </w:rPr>
              <w:t xml:space="preserve"> </w:t>
            </w:r>
            <w:r>
              <w:rPr>
                <w:rFonts w:hint="eastAsia" w:ascii="宋体" w:hAnsi="宋体" w:cs="宋体"/>
              </w:rPr>
              <w:t>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1737" w:hRule="atLeast"/>
          <w:jc w:val="center"/>
        </w:trPr>
        <w:tc>
          <w:tcPr>
            <w:tcW w:w="3626" w:type="dxa"/>
            <w:vAlign w:val="center"/>
          </w:tcPr>
          <w:p>
            <w:pPr>
              <w:jc w:val="center"/>
              <w:rPr>
                <w:rFonts w:ascii="宋体"/>
              </w:rPr>
            </w:pPr>
            <w:r>
              <w:rPr>
                <w:rFonts w:hint="eastAsia" w:ascii="宋体" w:hAnsi="宋体" w:cs="宋体"/>
              </w:rPr>
              <w:t>甘肃警察职业学院信息化运维服务外包项目</w:t>
            </w:r>
          </w:p>
        </w:tc>
        <w:tc>
          <w:tcPr>
            <w:tcW w:w="3603" w:type="dxa"/>
            <w:vAlign w:val="center"/>
          </w:tcPr>
          <w:p>
            <w:pPr>
              <w:rPr>
                <w:rFonts w:ascii="宋体"/>
              </w:rPr>
            </w:pPr>
            <w:r>
              <w:rPr>
                <w:rFonts w:hint="eastAsia" w:ascii="宋体" w:hAnsi="宋体" w:cs="宋体"/>
              </w:rPr>
              <w:t>小写：</w:t>
            </w:r>
          </w:p>
          <w:p>
            <w:pPr>
              <w:rPr>
                <w:rFonts w:ascii="宋体"/>
              </w:rPr>
            </w:pPr>
            <w:r>
              <w:rPr>
                <w:rFonts w:hint="eastAsia" w:ascii="宋体" w:hAnsi="宋体" w:cs="宋体"/>
              </w:rPr>
              <w:t>大写：</w:t>
            </w:r>
          </w:p>
        </w:tc>
        <w:tc>
          <w:tcPr>
            <w:tcW w:w="1646" w:type="dxa"/>
            <w:vAlign w:val="center"/>
          </w:tcPr>
          <w:p>
            <w:pPr>
              <w:jc w:val="center"/>
              <w:rPr>
                <w:rFonts w:ascii="宋体"/>
              </w:rPr>
            </w:pPr>
          </w:p>
        </w:tc>
      </w:tr>
    </w:tbl>
    <w:p>
      <w:pPr>
        <w:rPr>
          <w:rFonts w:ascii="宋体"/>
        </w:rPr>
      </w:pPr>
      <w:r>
        <w:rPr>
          <w:rFonts w:hint="eastAsia" w:ascii="宋体" w:hAnsi="宋体" w:cs="宋体"/>
        </w:rPr>
        <w:t>说明：开标一览表中的“投标报价”项应是本项目涉及相关服务的全部费用的报价，招标人不再另行支付任何其他费用。</w:t>
      </w:r>
    </w:p>
    <w:p>
      <w:pPr>
        <w:spacing w:line="360" w:lineRule="auto"/>
        <w:ind w:firstLine="480"/>
      </w:pPr>
    </w:p>
    <w:p>
      <w:pPr>
        <w:spacing w:line="360" w:lineRule="auto"/>
        <w:ind w:firstLine="480"/>
      </w:pPr>
    </w:p>
    <w:p>
      <w:pPr>
        <w:spacing w:line="360" w:lineRule="auto"/>
        <w:ind w:firstLine="480"/>
        <w:rPr>
          <w:u w:val="single"/>
        </w:rPr>
      </w:pPr>
      <w:r>
        <w:rPr>
          <w:rFonts w:hint="eastAsia" w:cs="宋体"/>
        </w:rPr>
        <w:t>投标人公章：</w:t>
      </w:r>
      <w:r>
        <w:t xml:space="preserve">      </w:t>
      </w:r>
    </w:p>
    <w:p>
      <w:pPr>
        <w:spacing w:line="360" w:lineRule="auto"/>
        <w:ind w:firstLine="480"/>
        <w:rPr>
          <w:u w:val="single"/>
        </w:rPr>
      </w:pPr>
      <w:r>
        <w:rPr>
          <w:rFonts w:hint="eastAsia" w:cs="宋体"/>
        </w:rPr>
        <w:t>特别说明事项：</w:t>
      </w:r>
      <w:r>
        <w:t xml:space="preserve">    </w:t>
      </w:r>
    </w:p>
    <w:p>
      <w:pPr>
        <w:tabs>
          <w:tab w:val="left" w:pos="480"/>
        </w:tabs>
        <w:spacing w:line="360" w:lineRule="auto"/>
      </w:pPr>
      <w:r>
        <w:tab/>
      </w:r>
      <w:r>
        <w:rPr>
          <w:rFonts w:hint="eastAsia" w:cs="宋体"/>
        </w:rPr>
        <w:t>投标人代表签字：</w:t>
      </w:r>
      <w:r>
        <w:t xml:space="preserve"> </w:t>
      </w:r>
    </w:p>
    <w:p>
      <w:pPr>
        <w:spacing w:line="360" w:lineRule="auto"/>
        <w:ind w:firstLine="480" w:firstLineChars="200"/>
        <w:rPr>
          <w:u w:val="single"/>
        </w:rPr>
      </w:pPr>
      <w:r>
        <w:rPr>
          <w:rFonts w:hint="eastAsia" w:cs="宋体"/>
        </w:rPr>
        <w:t>日期：</w:t>
      </w:r>
      <w:r>
        <w:t xml:space="preserve"> </w:t>
      </w:r>
    </w:p>
    <w:p>
      <w:pPr>
        <w:spacing w:line="320" w:lineRule="exact"/>
        <w:sectPr>
          <w:pgSz w:w="11906" w:h="16838"/>
          <w:pgMar w:top="1417" w:right="1588" w:bottom="1417" w:left="1418" w:header="851" w:footer="850" w:gutter="0"/>
          <w:cols w:space="720" w:num="1"/>
          <w:titlePg/>
          <w:docGrid w:type="lines" w:linePitch="312" w:charSpace="0"/>
        </w:sectPr>
      </w:pPr>
    </w:p>
    <w:bookmarkEnd w:id="95"/>
    <w:bookmarkEnd w:id="96"/>
    <w:p>
      <w:pPr>
        <w:pStyle w:val="3"/>
        <w:numPr>
          <w:ilvl w:val="1"/>
          <w:numId w:val="0"/>
        </w:numPr>
        <w:spacing w:line="360" w:lineRule="auto"/>
        <w:jc w:val="center"/>
        <w:rPr>
          <w:rFonts w:ascii="Times New Roman" w:hAnsi="Times New Roman" w:eastAsia="宋体" w:cs="Times New Roman"/>
          <w:sz w:val="24"/>
          <w:szCs w:val="24"/>
        </w:rPr>
      </w:pPr>
      <w:bookmarkStart w:id="106" w:name="_Toc254790334"/>
      <w:bookmarkStart w:id="107" w:name="_Toc414523510"/>
      <w:bookmarkStart w:id="108" w:name="_Toc393092569"/>
      <w:bookmarkStart w:id="109" w:name="_Toc1429158"/>
      <w:bookmarkStart w:id="110" w:name="_Toc86202652"/>
      <w:r>
        <w:rPr>
          <w:rFonts w:hint="eastAsia" w:ascii="Times New Roman" w:hAnsi="Times New Roman" w:eastAsia="宋体" w:cs="宋体"/>
          <w:sz w:val="24"/>
          <w:szCs w:val="24"/>
        </w:rPr>
        <w:t>九、投标报价明细表</w:t>
      </w:r>
      <w:bookmarkEnd w:id="106"/>
      <w:bookmarkEnd w:id="107"/>
      <w:bookmarkEnd w:id="108"/>
      <w:bookmarkEnd w:id="109"/>
      <w:bookmarkEnd w:id="110"/>
    </w:p>
    <w:p>
      <w:pPr>
        <w:spacing w:line="300" w:lineRule="exact"/>
        <w:ind w:firstLine="480" w:firstLineChars="200"/>
      </w:pPr>
      <w:r>
        <w:rPr>
          <w:rFonts w:hint="eastAsia" w:cs="宋体"/>
        </w:rPr>
        <w:t>项目名称：</w:t>
      </w:r>
    </w:p>
    <w:p>
      <w:pPr>
        <w:spacing w:line="300" w:lineRule="exact"/>
        <w:ind w:firstLine="480" w:firstLineChars="200"/>
        <w:rPr>
          <w:u w:val="single"/>
        </w:rPr>
      </w:pPr>
      <w:r>
        <w:rPr>
          <w:rFonts w:hint="eastAsia" w:cs="宋体"/>
        </w:rPr>
        <w:t>招标编号：</w:t>
      </w:r>
    </w:p>
    <w:p>
      <w:pPr>
        <w:spacing w:line="300" w:lineRule="exact"/>
        <w:ind w:firstLine="480" w:firstLineChars="200"/>
        <w:rPr>
          <w:u w:val="single"/>
        </w:rPr>
      </w:pPr>
      <w:r>
        <w:rPr>
          <w:rFonts w:hint="eastAsia" w:cs="宋体"/>
        </w:rPr>
        <w:t>投标人名称：</w:t>
      </w:r>
      <w:r>
        <w:t xml:space="preserve">  </w:t>
      </w:r>
    </w:p>
    <w:p>
      <w:pPr>
        <w:spacing w:line="360" w:lineRule="auto"/>
        <w:ind w:right="480"/>
        <w:jc w:val="right"/>
      </w:pPr>
      <w:r>
        <w:t xml:space="preserve">   </w:t>
      </w:r>
      <w:r>
        <w:rPr>
          <w:rFonts w:hint="eastAsia" w:cs="宋体"/>
        </w:rPr>
        <w:t>单位：人民币元</w:t>
      </w:r>
    </w:p>
    <w:tbl>
      <w:tblPr>
        <w:tblStyle w:val="34"/>
        <w:tblW w:w="82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1"/>
        <w:gridCol w:w="3830"/>
        <w:gridCol w:w="1711"/>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6" w:hRule="atLeast"/>
          <w:jc w:val="center"/>
        </w:trPr>
        <w:tc>
          <w:tcPr>
            <w:tcW w:w="1341" w:type="dxa"/>
            <w:vAlign w:val="center"/>
          </w:tcPr>
          <w:p>
            <w:pPr>
              <w:pStyle w:val="16"/>
              <w:spacing w:line="360" w:lineRule="auto"/>
              <w:jc w:val="center"/>
              <w:rPr>
                <w:rFonts w:ascii="Arial" w:hAnsi="Arial" w:cs="Arial"/>
                <w:b/>
                <w:bCs/>
              </w:rPr>
            </w:pPr>
            <w:r>
              <w:rPr>
                <w:rFonts w:hint="eastAsia" w:ascii="Arial" w:hAnsi="Arial"/>
                <w:b/>
                <w:bCs/>
              </w:rPr>
              <w:t>序号</w:t>
            </w:r>
          </w:p>
        </w:tc>
        <w:tc>
          <w:tcPr>
            <w:tcW w:w="3830" w:type="dxa"/>
            <w:vAlign w:val="center"/>
          </w:tcPr>
          <w:p>
            <w:pPr>
              <w:pStyle w:val="16"/>
              <w:spacing w:line="360" w:lineRule="auto"/>
              <w:jc w:val="center"/>
              <w:rPr>
                <w:rFonts w:ascii="Arial" w:hAnsi="Arial" w:cs="Arial"/>
                <w:b/>
                <w:bCs/>
              </w:rPr>
            </w:pPr>
            <w:r>
              <w:rPr>
                <w:rFonts w:hint="eastAsia" w:ascii="Arial" w:hAnsi="Arial"/>
                <w:b/>
                <w:bCs/>
              </w:rPr>
              <w:t>服务内容</w:t>
            </w:r>
          </w:p>
        </w:tc>
        <w:tc>
          <w:tcPr>
            <w:tcW w:w="1711" w:type="dxa"/>
            <w:vAlign w:val="center"/>
          </w:tcPr>
          <w:p>
            <w:pPr>
              <w:pStyle w:val="16"/>
              <w:spacing w:line="360" w:lineRule="auto"/>
              <w:jc w:val="center"/>
              <w:rPr>
                <w:rFonts w:ascii="Arial" w:hAnsi="Arial" w:cs="Arial"/>
                <w:b/>
                <w:bCs/>
              </w:rPr>
            </w:pPr>
            <w:r>
              <w:rPr>
                <w:rFonts w:hint="eastAsia" w:ascii="Arial" w:hAnsi="Arial"/>
                <w:b/>
                <w:bCs/>
              </w:rPr>
              <w:t>单价</w:t>
            </w:r>
          </w:p>
        </w:tc>
        <w:tc>
          <w:tcPr>
            <w:tcW w:w="1340" w:type="dxa"/>
            <w:vAlign w:val="center"/>
          </w:tcPr>
          <w:p>
            <w:pPr>
              <w:pStyle w:val="16"/>
              <w:spacing w:line="360" w:lineRule="auto"/>
              <w:jc w:val="center"/>
              <w:rPr>
                <w:rFonts w:ascii="Arial" w:hAnsi="Arial" w:cs="Arial"/>
                <w:b/>
                <w:bCs/>
              </w:rPr>
            </w:pPr>
            <w:r>
              <w:rPr>
                <w:rFonts w:hint="eastAsia" w:ascii="Arial" w:hAnsi="Arial"/>
                <w:b/>
                <w:bCs/>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jc w:val="center"/>
        </w:trPr>
        <w:tc>
          <w:tcPr>
            <w:tcW w:w="1341" w:type="dxa"/>
            <w:vAlign w:val="center"/>
          </w:tcPr>
          <w:p>
            <w:pPr>
              <w:pStyle w:val="16"/>
              <w:spacing w:line="360" w:lineRule="auto"/>
              <w:ind w:left="307" w:leftChars="128"/>
              <w:jc w:val="left"/>
              <w:rPr>
                <w:rFonts w:ascii="Arial" w:hAnsi="Arial" w:cs="Arial"/>
              </w:rPr>
            </w:pPr>
          </w:p>
        </w:tc>
        <w:tc>
          <w:tcPr>
            <w:tcW w:w="3830" w:type="dxa"/>
            <w:vAlign w:val="center"/>
          </w:tcPr>
          <w:p>
            <w:pPr>
              <w:pStyle w:val="16"/>
              <w:spacing w:line="360" w:lineRule="auto"/>
              <w:jc w:val="left"/>
              <w:rPr>
                <w:rFonts w:ascii="Arial" w:hAnsi="Arial" w:cs="Arial"/>
              </w:rPr>
            </w:pPr>
          </w:p>
        </w:tc>
        <w:tc>
          <w:tcPr>
            <w:tcW w:w="1711" w:type="dxa"/>
            <w:vAlign w:val="center"/>
          </w:tcPr>
          <w:p>
            <w:pPr>
              <w:pStyle w:val="16"/>
              <w:spacing w:line="360" w:lineRule="auto"/>
              <w:ind w:left="1157" w:leftChars="257" w:hanging="540"/>
              <w:jc w:val="left"/>
              <w:rPr>
                <w:rFonts w:ascii="Arial" w:hAnsi="Arial" w:cs="Arial"/>
              </w:rPr>
            </w:pPr>
          </w:p>
        </w:tc>
        <w:tc>
          <w:tcPr>
            <w:tcW w:w="1340" w:type="dxa"/>
            <w:vAlign w:val="center"/>
          </w:tcPr>
          <w:p>
            <w:pPr>
              <w:pStyle w:val="16"/>
              <w:spacing w:line="360" w:lineRule="auto"/>
              <w:ind w:left="1157" w:leftChars="257" w:hanging="540"/>
              <w:jc w:val="left"/>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jc w:val="center"/>
        </w:trPr>
        <w:tc>
          <w:tcPr>
            <w:tcW w:w="1341" w:type="dxa"/>
            <w:vAlign w:val="center"/>
          </w:tcPr>
          <w:p>
            <w:pPr>
              <w:pStyle w:val="16"/>
              <w:spacing w:line="360" w:lineRule="auto"/>
              <w:ind w:left="307" w:leftChars="128"/>
              <w:jc w:val="left"/>
              <w:rPr>
                <w:rFonts w:ascii="Arial" w:hAnsi="Arial" w:cs="Arial"/>
              </w:rPr>
            </w:pPr>
          </w:p>
        </w:tc>
        <w:tc>
          <w:tcPr>
            <w:tcW w:w="3830" w:type="dxa"/>
            <w:vAlign w:val="center"/>
          </w:tcPr>
          <w:p>
            <w:pPr>
              <w:pStyle w:val="16"/>
              <w:spacing w:line="360" w:lineRule="auto"/>
              <w:jc w:val="left"/>
              <w:rPr>
                <w:rFonts w:ascii="Arial" w:hAnsi="Arial" w:cs="Arial"/>
              </w:rPr>
            </w:pPr>
          </w:p>
        </w:tc>
        <w:tc>
          <w:tcPr>
            <w:tcW w:w="1711" w:type="dxa"/>
            <w:vAlign w:val="center"/>
          </w:tcPr>
          <w:p>
            <w:pPr>
              <w:pStyle w:val="16"/>
              <w:spacing w:line="360" w:lineRule="auto"/>
              <w:ind w:left="1157" w:leftChars="257" w:hanging="540"/>
              <w:jc w:val="left"/>
              <w:rPr>
                <w:rFonts w:ascii="Arial" w:hAnsi="Arial" w:cs="Arial"/>
              </w:rPr>
            </w:pPr>
          </w:p>
        </w:tc>
        <w:tc>
          <w:tcPr>
            <w:tcW w:w="1340" w:type="dxa"/>
            <w:vAlign w:val="center"/>
          </w:tcPr>
          <w:p>
            <w:pPr>
              <w:pStyle w:val="16"/>
              <w:spacing w:line="360" w:lineRule="auto"/>
              <w:ind w:left="1157" w:leftChars="257" w:hanging="540"/>
              <w:jc w:val="left"/>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jc w:val="center"/>
        </w:trPr>
        <w:tc>
          <w:tcPr>
            <w:tcW w:w="1341" w:type="dxa"/>
            <w:vAlign w:val="center"/>
          </w:tcPr>
          <w:p>
            <w:pPr>
              <w:pStyle w:val="16"/>
              <w:spacing w:line="360" w:lineRule="auto"/>
              <w:ind w:left="307" w:leftChars="128"/>
              <w:jc w:val="left"/>
              <w:rPr>
                <w:rFonts w:ascii="Arial" w:hAnsi="Arial" w:cs="Arial"/>
              </w:rPr>
            </w:pPr>
          </w:p>
        </w:tc>
        <w:tc>
          <w:tcPr>
            <w:tcW w:w="3830" w:type="dxa"/>
            <w:vAlign w:val="center"/>
          </w:tcPr>
          <w:p>
            <w:pPr>
              <w:pStyle w:val="16"/>
              <w:spacing w:line="360" w:lineRule="auto"/>
              <w:jc w:val="left"/>
              <w:rPr>
                <w:rFonts w:ascii="Arial" w:hAnsi="Arial" w:cs="Arial"/>
              </w:rPr>
            </w:pPr>
          </w:p>
        </w:tc>
        <w:tc>
          <w:tcPr>
            <w:tcW w:w="1711" w:type="dxa"/>
            <w:vAlign w:val="center"/>
          </w:tcPr>
          <w:p>
            <w:pPr>
              <w:pStyle w:val="16"/>
              <w:spacing w:line="360" w:lineRule="auto"/>
              <w:ind w:left="1157" w:leftChars="257" w:hanging="540"/>
              <w:jc w:val="left"/>
              <w:rPr>
                <w:rFonts w:ascii="Arial" w:hAnsi="Arial" w:cs="Arial"/>
              </w:rPr>
            </w:pPr>
          </w:p>
        </w:tc>
        <w:tc>
          <w:tcPr>
            <w:tcW w:w="1340" w:type="dxa"/>
            <w:vAlign w:val="center"/>
          </w:tcPr>
          <w:p>
            <w:pPr>
              <w:pStyle w:val="16"/>
              <w:spacing w:line="360" w:lineRule="auto"/>
              <w:ind w:left="1157" w:leftChars="257" w:hanging="540"/>
              <w:jc w:val="left"/>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jc w:val="center"/>
        </w:trPr>
        <w:tc>
          <w:tcPr>
            <w:tcW w:w="1341" w:type="dxa"/>
            <w:vAlign w:val="center"/>
          </w:tcPr>
          <w:p>
            <w:pPr>
              <w:pStyle w:val="16"/>
              <w:spacing w:line="360" w:lineRule="auto"/>
              <w:ind w:left="307" w:leftChars="128"/>
              <w:jc w:val="left"/>
              <w:rPr>
                <w:rFonts w:ascii="Arial" w:hAnsi="Arial" w:cs="Arial"/>
              </w:rPr>
            </w:pPr>
          </w:p>
        </w:tc>
        <w:tc>
          <w:tcPr>
            <w:tcW w:w="3830" w:type="dxa"/>
            <w:vAlign w:val="center"/>
          </w:tcPr>
          <w:p>
            <w:pPr>
              <w:pStyle w:val="16"/>
              <w:spacing w:line="360" w:lineRule="auto"/>
              <w:jc w:val="left"/>
              <w:rPr>
                <w:rFonts w:ascii="Arial" w:hAnsi="Arial" w:cs="Arial"/>
              </w:rPr>
            </w:pPr>
          </w:p>
        </w:tc>
        <w:tc>
          <w:tcPr>
            <w:tcW w:w="1711" w:type="dxa"/>
            <w:vAlign w:val="center"/>
          </w:tcPr>
          <w:p>
            <w:pPr>
              <w:pStyle w:val="16"/>
              <w:spacing w:line="360" w:lineRule="auto"/>
              <w:ind w:left="1157" w:leftChars="257" w:hanging="540"/>
              <w:jc w:val="left"/>
              <w:rPr>
                <w:rFonts w:ascii="Arial" w:hAnsi="Arial" w:cs="Arial"/>
              </w:rPr>
            </w:pPr>
          </w:p>
        </w:tc>
        <w:tc>
          <w:tcPr>
            <w:tcW w:w="1340" w:type="dxa"/>
            <w:vAlign w:val="center"/>
          </w:tcPr>
          <w:p>
            <w:pPr>
              <w:pStyle w:val="16"/>
              <w:spacing w:line="360" w:lineRule="auto"/>
              <w:ind w:left="1157" w:leftChars="257" w:hanging="540"/>
              <w:jc w:val="left"/>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jc w:val="center"/>
        </w:trPr>
        <w:tc>
          <w:tcPr>
            <w:tcW w:w="1341" w:type="dxa"/>
            <w:vAlign w:val="center"/>
          </w:tcPr>
          <w:p>
            <w:pPr>
              <w:pStyle w:val="16"/>
              <w:spacing w:line="360" w:lineRule="auto"/>
              <w:ind w:left="307" w:leftChars="128"/>
              <w:jc w:val="left"/>
              <w:rPr>
                <w:rFonts w:ascii="Arial" w:hAnsi="Arial" w:cs="Arial"/>
              </w:rPr>
            </w:pPr>
          </w:p>
        </w:tc>
        <w:tc>
          <w:tcPr>
            <w:tcW w:w="3830" w:type="dxa"/>
            <w:vAlign w:val="center"/>
          </w:tcPr>
          <w:p>
            <w:pPr>
              <w:pStyle w:val="16"/>
              <w:spacing w:line="360" w:lineRule="auto"/>
              <w:jc w:val="left"/>
              <w:rPr>
                <w:rFonts w:ascii="Arial" w:hAnsi="Arial" w:cs="Arial"/>
              </w:rPr>
            </w:pPr>
          </w:p>
        </w:tc>
        <w:tc>
          <w:tcPr>
            <w:tcW w:w="1711" w:type="dxa"/>
            <w:vAlign w:val="center"/>
          </w:tcPr>
          <w:p>
            <w:pPr>
              <w:pStyle w:val="16"/>
              <w:spacing w:line="360" w:lineRule="auto"/>
              <w:ind w:left="1157" w:leftChars="257" w:hanging="540"/>
              <w:jc w:val="left"/>
              <w:rPr>
                <w:rFonts w:ascii="Arial" w:hAnsi="Arial" w:cs="Arial"/>
              </w:rPr>
            </w:pPr>
          </w:p>
        </w:tc>
        <w:tc>
          <w:tcPr>
            <w:tcW w:w="1340" w:type="dxa"/>
            <w:vAlign w:val="center"/>
          </w:tcPr>
          <w:p>
            <w:pPr>
              <w:pStyle w:val="16"/>
              <w:spacing w:line="360" w:lineRule="auto"/>
              <w:ind w:left="1157" w:leftChars="257" w:hanging="540"/>
              <w:jc w:val="left"/>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jc w:val="center"/>
        </w:trPr>
        <w:tc>
          <w:tcPr>
            <w:tcW w:w="1341" w:type="dxa"/>
            <w:vAlign w:val="center"/>
          </w:tcPr>
          <w:p>
            <w:pPr>
              <w:pStyle w:val="16"/>
              <w:spacing w:line="360" w:lineRule="auto"/>
              <w:ind w:left="307" w:leftChars="128"/>
              <w:jc w:val="left"/>
              <w:rPr>
                <w:rFonts w:ascii="Arial" w:hAnsi="Arial" w:cs="Arial"/>
              </w:rPr>
            </w:pPr>
          </w:p>
        </w:tc>
        <w:tc>
          <w:tcPr>
            <w:tcW w:w="3830" w:type="dxa"/>
            <w:vAlign w:val="center"/>
          </w:tcPr>
          <w:p>
            <w:pPr>
              <w:pStyle w:val="16"/>
              <w:spacing w:line="360" w:lineRule="auto"/>
              <w:jc w:val="left"/>
              <w:rPr>
                <w:rFonts w:ascii="Arial" w:hAnsi="Arial" w:cs="Arial"/>
              </w:rPr>
            </w:pPr>
          </w:p>
        </w:tc>
        <w:tc>
          <w:tcPr>
            <w:tcW w:w="1711" w:type="dxa"/>
            <w:vAlign w:val="center"/>
          </w:tcPr>
          <w:p>
            <w:pPr>
              <w:pStyle w:val="16"/>
              <w:spacing w:line="360" w:lineRule="auto"/>
              <w:ind w:left="1157" w:leftChars="257" w:hanging="540"/>
              <w:jc w:val="left"/>
              <w:rPr>
                <w:rFonts w:ascii="Arial" w:hAnsi="Arial" w:cs="Arial"/>
              </w:rPr>
            </w:pPr>
          </w:p>
        </w:tc>
        <w:tc>
          <w:tcPr>
            <w:tcW w:w="1340" w:type="dxa"/>
            <w:vAlign w:val="center"/>
          </w:tcPr>
          <w:p>
            <w:pPr>
              <w:pStyle w:val="16"/>
              <w:spacing w:line="360" w:lineRule="auto"/>
              <w:ind w:left="1157" w:leftChars="257" w:hanging="540"/>
              <w:jc w:val="left"/>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3" w:hRule="atLeast"/>
          <w:jc w:val="center"/>
        </w:trPr>
        <w:tc>
          <w:tcPr>
            <w:tcW w:w="5171" w:type="dxa"/>
            <w:gridSpan w:val="2"/>
            <w:vAlign w:val="center"/>
          </w:tcPr>
          <w:p>
            <w:pPr>
              <w:pStyle w:val="16"/>
              <w:spacing w:line="360" w:lineRule="auto"/>
              <w:ind w:left="1157" w:leftChars="257" w:hanging="540"/>
              <w:jc w:val="left"/>
              <w:rPr>
                <w:rFonts w:ascii="Arial" w:hAnsi="Arial" w:cs="Arial"/>
              </w:rPr>
            </w:pPr>
            <w:r>
              <w:rPr>
                <w:rFonts w:hint="eastAsia" w:ascii="Arial" w:hAnsi="Arial"/>
              </w:rPr>
              <w:t>总价：</w:t>
            </w:r>
          </w:p>
        </w:tc>
        <w:tc>
          <w:tcPr>
            <w:tcW w:w="1711" w:type="dxa"/>
            <w:vAlign w:val="center"/>
          </w:tcPr>
          <w:p>
            <w:pPr>
              <w:pStyle w:val="16"/>
              <w:spacing w:line="360" w:lineRule="auto"/>
              <w:ind w:left="1157" w:leftChars="257" w:hanging="540"/>
              <w:jc w:val="left"/>
              <w:rPr>
                <w:rFonts w:ascii="Arial" w:hAnsi="Arial" w:cs="Arial"/>
              </w:rPr>
            </w:pPr>
          </w:p>
        </w:tc>
        <w:tc>
          <w:tcPr>
            <w:tcW w:w="1340" w:type="dxa"/>
            <w:vAlign w:val="center"/>
          </w:tcPr>
          <w:p>
            <w:pPr>
              <w:pStyle w:val="16"/>
              <w:spacing w:line="360" w:lineRule="auto"/>
              <w:ind w:left="1157" w:leftChars="257" w:hanging="540"/>
              <w:jc w:val="left"/>
              <w:rPr>
                <w:rFonts w:ascii="Arial" w:hAnsi="Arial" w:cs="Arial"/>
              </w:rPr>
            </w:pPr>
          </w:p>
        </w:tc>
      </w:tr>
    </w:tbl>
    <w:p>
      <w:pPr>
        <w:spacing w:line="240" w:lineRule="auto"/>
        <w:jc w:val="both"/>
        <w:rPr>
          <w:rFonts w:ascii="宋体"/>
        </w:rPr>
      </w:pPr>
    </w:p>
    <w:p>
      <w:pPr>
        <w:spacing w:line="240" w:lineRule="auto"/>
        <w:jc w:val="both"/>
        <w:rPr>
          <w:rFonts w:ascii="宋体"/>
        </w:rPr>
      </w:pPr>
      <w:r>
        <w:rPr>
          <w:rFonts w:hint="eastAsia" w:ascii="宋体" w:hAnsi="宋体" w:cs="宋体"/>
        </w:rPr>
        <w:t>说明</w:t>
      </w:r>
      <w:r>
        <w:rPr>
          <w:rFonts w:ascii="宋体" w:hAnsi="宋体" w:cs="宋体"/>
        </w:rPr>
        <w:t xml:space="preserve"> : </w:t>
      </w:r>
      <w:r>
        <w:rPr>
          <w:rFonts w:hint="eastAsia" w:ascii="宋体" w:hAnsi="宋体" w:cs="宋体"/>
        </w:rPr>
        <w:t>投标报价明细表请投标人根据第七部分“招标业务需求及技术要求”进行测算，表格不足部分可自行扩充填写，合计金额应与“开标一览表”中投标报价金额一致。</w:t>
      </w:r>
    </w:p>
    <w:p>
      <w:pPr>
        <w:spacing w:line="320" w:lineRule="exact"/>
        <w:ind w:firstLine="480"/>
        <w:rPr>
          <w:rFonts w:ascii="宋体"/>
        </w:rPr>
      </w:pPr>
    </w:p>
    <w:p>
      <w:pPr>
        <w:spacing w:line="320" w:lineRule="exact"/>
        <w:ind w:firstLine="480"/>
        <w:rPr>
          <w:rFonts w:ascii="宋体"/>
        </w:rPr>
      </w:pPr>
    </w:p>
    <w:p>
      <w:pPr>
        <w:spacing w:line="320" w:lineRule="exact"/>
        <w:ind w:firstLine="480"/>
        <w:rPr>
          <w:u w:val="single"/>
        </w:rPr>
      </w:pPr>
      <w:r>
        <w:rPr>
          <w:rFonts w:hint="eastAsia" w:ascii="宋体" w:hAnsi="宋体" w:cs="宋体"/>
        </w:rPr>
        <w:t>特别说明事项：</w:t>
      </w:r>
      <w:r>
        <w:rPr>
          <w:rFonts w:ascii="宋体" w:hAnsi="宋体" w:cs="宋体"/>
        </w:rPr>
        <w:t xml:space="preserve">    </w:t>
      </w:r>
    </w:p>
    <w:p>
      <w:pPr>
        <w:spacing w:line="320" w:lineRule="exact"/>
        <w:ind w:firstLine="480"/>
        <w:rPr>
          <w:u w:val="single"/>
        </w:rPr>
      </w:pPr>
      <w:r>
        <w:rPr>
          <w:rFonts w:hint="eastAsia" w:cs="宋体"/>
        </w:rPr>
        <w:t>投标人公章：</w:t>
      </w:r>
      <w:r>
        <w:t xml:space="preserve">      </w:t>
      </w:r>
    </w:p>
    <w:p>
      <w:pPr>
        <w:tabs>
          <w:tab w:val="left" w:pos="480"/>
        </w:tabs>
        <w:spacing w:line="320" w:lineRule="exact"/>
      </w:pPr>
      <w:r>
        <w:tab/>
      </w:r>
      <w:r>
        <w:rPr>
          <w:rFonts w:hint="eastAsia" w:cs="宋体"/>
        </w:rPr>
        <w:t>投标人代表签字：</w:t>
      </w:r>
      <w:r>
        <w:t xml:space="preserve"> </w:t>
      </w:r>
    </w:p>
    <w:p>
      <w:pPr>
        <w:spacing w:line="320" w:lineRule="exact"/>
        <w:ind w:firstLine="480"/>
        <w:rPr>
          <w:u w:val="single"/>
        </w:rPr>
      </w:pPr>
      <w:r>
        <w:rPr>
          <w:rFonts w:hint="eastAsia" w:cs="宋体"/>
        </w:rPr>
        <w:t>日期：</w:t>
      </w:r>
      <w:r>
        <w:t xml:space="preserve">           </w:t>
      </w:r>
    </w:p>
    <w:p>
      <w:pPr>
        <w:spacing w:line="320" w:lineRule="exact"/>
        <w:ind w:firstLine="480"/>
        <w:sectPr>
          <w:pgSz w:w="11906" w:h="16838"/>
          <w:pgMar w:top="1417" w:right="1588" w:bottom="1417" w:left="1418" w:header="851" w:footer="850" w:gutter="0"/>
          <w:cols w:space="720" w:num="1"/>
          <w:titlePg/>
          <w:docGrid w:type="lines" w:linePitch="312" w:charSpace="0"/>
        </w:sectPr>
      </w:pPr>
    </w:p>
    <w:p>
      <w:pPr>
        <w:tabs>
          <w:tab w:val="left" w:pos="4860"/>
        </w:tabs>
        <w:spacing w:line="588" w:lineRule="exact"/>
        <w:ind w:right="1560" w:firstLine="504" w:firstLineChars="200"/>
        <w:jc w:val="center"/>
        <w:rPr>
          <w:rFonts w:ascii="宋体"/>
          <w:spacing w:val="6"/>
        </w:rPr>
        <w:sectPr>
          <w:footerReference r:id="rId9" w:type="default"/>
          <w:type w:val="continuous"/>
          <w:pgSz w:w="11906" w:h="16838"/>
          <w:pgMar w:top="1418" w:right="1588" w:bottom="1418" w:left="1418" w:header="851" w:footer="992" w:gutter="0"/>
          <w:pgNumType w:start="40"/>
          <w:cols w:space="720" w:num="1"/>
          <w:docGrid w:type="lines" w:linePitch="312" w:charSpace="0"/>
        </w:sectPr>
      </w:pPr>
    </w:p>
    <w:p>
      <w:pPr>
        <w:pStyle w:val="2"/>
        <w:numPr>
          <w:ilvl w:val="0"/>
          <w:numId w:val="0"/>
        </w:numPr>
        <w:spacing w:before="0" w:after="0" w:line="360" w:lineRule="auto"/>
        <w:jc w:val="center"/>
        <w:rPr>
          <w:rFonts w:ascii="宋体"/>
          <w:sz w:val="32"/>
          <w:szCs w:val="32"/>
        </w:rPr>
      </w:pPr>
      <w:bookmarkStart w:id="111" w:name="_Toc393092571"/>
      <w:bookmarkStart w:id="112" w:name="_Toc414523512"/>
      <w:bookmarkStart w:id="113" w:name="_Toc1429159"/>
      <w:r>
        <w:rPr>
          <w:rFonts w:hint="eastAsia" w:ascii="宋体" w:hAnsi="宋体" w:cs="宋体"/>
          <w:sz w:val="32"/>
          <w:szCs w:val="32"/>
        </w:rPr>
        <w:t>第七部分</w:t>
      </w:r>
      <w:r>
        <w:rPr>
          <w:rFonts w:ascii="宋体" w:hAnsi="宋体" w:cs="宋体"/>
          <w:sz w:val="32"/>
          <w:szCs w:val="32"/>
        </w:rPr>
        <w:t xml:space="preserve">  </w:t>
      </w:r>
      <w:r>
        <w:rPr>
          <w:rFonts w:hint="eastAsia" w:ascii="宋体" w:hAnsi="宋体" w:cs="宋体"/>
          <w:sz w:val="32"/>
          <w:szCs w:val="32"/>
        </w:rPr>
        <w:t>招标业务需求及技术要求</w:t>
      </w:r>
      <w:bookmarkEnd w:id="111"/>
      <w:bookmarkEnd w:id="112"/>
      <w:bookmarkEnd w:id="113"/>
    </w:p>
    <w:p>
      <w:pPr>
        <w:pStyle w:val="2"/>
        <w:numPr>
          <w:ilvl w:val="0"/>
          <w:numId w:val="0"/>
        </w:numPr>
        <w:snapToGrid w:val="0"/>
        <w:spacing w:line="360" w:lineRule="auto"/>
        <w:rPr>
          <w:rFonts w:ascii="宋体"/>
          <w:sz w:val="24"/>
          <w:szCs w:val="24"/>
        </w:rPr>
      </w:pPr>
      <w:bookmarkStart w:id="114" w:name="_Toc1429160"/>
      <w:bookmarkStart w:id="115" w:name="_Toc323818628"/>
      <w:bookmarkStart w:id="116" w:name="_Toc298247065"/>
      <w:bookmarkStart w:id="117" w:name="_Toc332870417"/>
      <w:bookmarkStart w:id="118" w:name="_Toc14450"/>
      <w:bookmarkStart w:id="119" w:name="_Toc332370170"/>
      <w:r>
        <w:rPr>
          <w:rFonts w:ascii="宋体" w:hAnsi="宋体" w:cs="宋体"/>
          <w:sz w:val="24"/>
          <w:szCs w:val="24"/>
        </w:rPr>
        <w:t>1.</w:t>
      </w:r>
      <w:r>
        <w:rPr>
          <w:rFonts w:hint="eastAsia" w:ascii="宋体" w:hAnsi="宋体" w:cs="宋体"/>
          <w:sz w:val="24"/>
          <w:szCs w:val="24"/>
        </w:rPr>
        <w:t>概述</w:t>
      </w:r>
      <w:bookmarkEnd w:id="114"/>
      <w:bookmarkEnd w:id="115"/>
      <w:bookmarkEnd w:id="116"/>
      <w:bookmarkEnd w:id="117"/>
      <w:bookmarkEnd w:id="118"/>
      <w:bookmarkEnd w:id="119"/>
    </w:p>
    <w:p>
      <w:pPr>
        <w:pStyle w:val="3"/>
        <w:numPr>
          <w:ilvl w:val="0"/>
          <w:numId w:val="0"/>
        </w:numPr>
        <w:spacing w:line="360" w:lineRule="auto"/>
        <w:rPr>
          <w:rFonts w:ascii="宋体" w:hAnsi="宋体" w:eastAsia="宋体" w:cs="Times New Roman"/>
          <w:sz w:val="24"/>
          <w:szCs w:val="24"/>
        </w:rPr>
      </w:pPr>
      <w:bookmarkStart w:id="120" w:name="_Toc298247068"/>
      <w:bookmarkStart w:id="121" w:name="_Toc332370173"/>
      <w:bookmarkStart w:id="122" w:name="_Toc20415"/>
      <w:bookmarkStart w:id="123" w:name="_Toc323818631"/>
      <w:bookmarkStart w:id="124" w:name="_Toc332870420"/>
      <w:bookmarkStart w:id="125" w:name="_Toc1429161"/>
      <w:r>
        <w:rPr>
          <w:rFonts w:ascii="宋体" w:hAnsi="宋体" w:eastAsia="宋体" w:cs="宋体"/>
          <w:sz w:val="24"/>
          <w:szCs w:val="24"/>
        </w:rPr>
        <w:t>1.3</w:t>
      </w:r>
      <w:r>
        <w:rPr>
          <w:rFonts w:hint="eastAsia" w:ascii="宋体" w:hAnsi="宋体" w:eastAsia="宋体" w:cs="宋体"/>
          <w:sz w:val="24"/>
          <w:szCs w:val="24"/>
        </w:rPr>
        <w:t>甘肃警察职业学院运维项目目标</w:t>
      </w:r>
      <w:bookmarkEnd w:id="120"/>
      <w:bookmarkEnd w:id="121"/>
      <w:bookmarkEnd w:id="122"/>
      <w:bookmarkEnd w:id="123"/>
      <w:bookmarkEnd w:id="124"/>
      <w:bookmarkEnd w:id="125"/>
    </w:p>
    <w:p>
      <w:pPr>
        <w:pStyle w:val="66"/>
        <w:numPr>
          <w:ilvl w:val="0"/>
          <w:numId w:val="0"/>
        </w:numPr>
        <w:snapToGrid w:val="0"/>
        <w:spacing w:before="163" w:line="360" w:lineRule="auto"/>
        <w:ind w:firstLine="480" w:firstLineChars="200"/>
        <w:jc w:val="left"/>
        <w:rPr>
          <w:sz w:val="24"/>
          <w:szCs w:val="24"/>
        </w:rPr>
      </w:pPr>
      <w:r>
        <w:rPr>
          <w:rFonts w:hint="eastAsia"/>
          <w:sz w:val="24"/>
          <w:szCs w:val="24"/>
        </w:rPr>
        <w:t>甘肃警察职业学院校园信息化系统的安全、稳定和可靠地运行，是实现甘肃警察职业学院运维项目目标的前提和技术支撑，是信息化运维的主要任务。本项目的实质是利用专业公司的技术、智力、人力等资源，通过科学规范的项目管理，甘肃警察职业学院总体技术架构的规划与把控，为甘肃警察职业学院提供各类可应用、可量化、可管理、可评估的“信息服务产品”。实现政府资源的充分利用，提高绩效、降低成本、新技术应用、一体化整合。</w:t>
      </w:r>
    </w:p>
    <w:p>
      <w:pPr>
        <w:pStyle w:val="2"/>
        <w:numPr>
          <w:ilvl w:val="0"/>
          <w:numId w:val="0"/>
        </w:numPr>
        <w:snapToGrid w:val="0"/>
        <w:spacing w:line="360" w:lineRule="auto"/>
        <w:rPr>
          <w:rFonts w:ascii="宋体"/>
          <w:sz w:val="24"/>
          <w:szCs w:val="24"/>
        </w:rPr>
      </w:pPr>
      <w:bookmarkStart w:id="126" w:name="_Toc323818633"/>
      <w:bookmarkStart w:id="127" w:name="_Toc10615"/>
      <w:bookmarkStart w:id="128" w:name="_Toc298247069"/>
      <w:bookmarkStart w:id="129" w:name="_Toc332870422"/>
      <w:bookmarkStart w:id="130" w:name="_Toc332370175"/>
      <w:bookmarkStart w:id="131" w:name="_Toc1429162"/>
      <w:r>
        <w:rPr>
          <w:rFonts w:ascii="宋体" w:hAnsi="宋体" w:cs="宋体"/>
          <w:sz w:val="24"/>
          <w:szCs w:val="24"/>
        </w:rPr>
        <w:t>2.</w:t>
      </w:r>
      <w:r>
        <w:rPr>
          <w:rFonts w:hint="eastAsia" w:ascii="宋体" w:hAnsi="宋体" w:cs="宋体"/>
          <w:sz w:val="24"/>
          <w:szCs w:val="24"/>
        </w:rPr>
        <w:t>运维项目基本要求</w:t>
      </w:r>
      <w:bookmarkEnd w:id="126"/>
      <w:bookmarkEnd w:id="127"/>
      <w:bookmarkEnd w:id="128"/>
      <w:bookmarkEnd w:id="129"/>
      <w:bookmarkEnd w:id="130"/>
      <w:bookmarkEnd w:id="131"/>
    </w:p>
    <w:p>
      <w:pPr>
        <w:pStyle w:val="66"/>
        <w:numPr>
          <w:ilvl w:val="0"/>
          <w:numId w:val="0"/>
        </w:numPr>
        <w:snapToGrid w:val="0"/>
        <w:spacing w:before="163" w:line="360" w:lineRule="auto"/>
        <w:ind w:firstLine="480" w:firstLineChars="200"/>
        <w:jc w:val="left"/>
        <w:rPr>
          <w:sz w:val="24"/>
          <w:szCs w:val="24"/>
        </w:rPr>
      </w:pPr>
      <w:r>
        <w:rPr>
          <w:rFonts w:hint="eastAsia"/>
          <w:sz w:val="24"/>
          <w:szCs w:val="24"/>
        </w:rPr>
        <w:t>本部分仅提出采购人对于项目管理的基本要求，相关问题投标人在投标方案书中予以答复。</w:t>
      </w:r>
    </w:p>
    <w:p>
      <w:pPr>
        <w:pStyle w:val="3"/>
        <w:numPr>
          <w:ilvl w:val="0"/>
          <w:numId w:val="0"/>
        </w:numPr>
        <w:snapToGrid w:val="0"/>
        <w:spacing w:line="360" w:lineRule="auto"/>
        <w:rPr>
          <w:rFonts w:ascii="宋体" w:hAnsi="宋体" w:eastAsia="宋体" w:cs="Times New Roman"/>
          <w:sz w:val="24"/>
          <w:szCs w:val="24"/>
        </w:rPr>
      </w:pPr>
      <w:bookmarkStart w:id="132" w:name="_Toc277058068"/>
      <w:bookmarkStart w:id="133" w:name="_Toc323818634"/>
      <w:bookmarkStart w:id="134" w:name="_Toc332870423"/>
      <w:bookmarkStart w:id="135" w:name="_Toc1429163"/>
      <w:bookmarkStart w:id="136" w:name="_Toc332370176"/>
      <w:bookmarkStart w:id="137" w:name="_Toc298247070"/>
      <w:bookmarkStart w:id="138" w:name="_Toc13608"/>
      <w:r>
        <w:rPr>
          <w:rFonts w:ascii="宋体" w:hAnsi="宋体" w:eastAsia="宋体" w:cs="宋体"/>
          <w:sz w:val="24"/>
          <w:szCs w:val="24"/>
        </w:rPr>
        <w:t>2.1</w:t>
      </w:r>
      <w:r>
        <w:rPr>
          <w:rFonts w:hint="eastAsia" w:ascii="宋体" w:hAnsi="宋体" w:eastAsia="宋体" w:cs="宋体"/>
          <w:sz w:val="24"/>
          <w:szCs w:val="24"/>
        </w:rPr>
        <w:t>项目执行周期</w:t>
      </w:r>
      <w:bookmarkEnd w:id="132"/>
      <w:bookmarkEnd w:id="133"/>
      <w:bookmarkEnd w:id="134"/>
      <w:bookmarkEnd w:id="135"/>
      <w:bookmarkEnd w:id="136"/>
      <w:bookmarkEnd w:id="137"/>
      <w:bookmarkEnd w:id="138"/>
    </w:p>
    <w:p>
      <w:pPr>
        <w:snapToGrid w:val="0"/>
        <w:spacing w:before="163" w:line="360" w:lineRule="auto"/>
        <w:ind w:firstLine="480" w:firstLineChars="200"/>
        <w:rPr>
          <w:rFonts w:ascii="宋体"/>
        </w:rPr>
      </w:pPr>
      <w:r>
        <w:rPr>
          <w:rFonts w:hint="eastAsia" w:ascii="宋体" w:hAnsi="宋体" w:cs="宋体"/>
        </w:rPr>
        <w:t>本项目由采购人与投标人签署年度合同。采购人在年度合同期满时对外包商进行年度考核。</w:t>
      </w:r>
    </w:p>
    <w:p>
      <w:pPr>
        <w:pStyle w:val="3"/>
        <w:numPr>
          <w:ilvl w:val="0"/>
          <w:numId w:val="0"/>
        </w:numPr>
        <w:snapToGrid w:val="0"/>
        <w:spacing w:line="360" w:lineRule="auto"/>
        <w:rPr>
          <w:rFonts w:ascii="宋体" w:hAnsi="宋体" w:eastAsia="宋体" w:cs="Times New Roman"/>
          <w:sz w:val="24"/>
          <w:szCs w:val="24"/>
        </w:rPr>
      </w:pPr>
      <w:bookmarkStart w:id="139" w:name="_Toc16181"/>
      <w:bookmarkStart w:id="140" w:name="_Toc332370177"/>
      <w:bookmarkStart w:id="141" w:name="_Toc332870424"/>
      <w:bookmarkStart w:id="142" w:name="_Toc323818635"/>
      <w:bookmarkStart w:id="143" w:name="_Toc292392738"/>
      <w:bookmarkStart w:id="144" w:name="_Toc1429164"/>
      <w:r>
        <w:rPr>
          <w:rFonts w:ascii="宋体" w:hAnsi="宋体" w:eastAsia="宋体" w:cs="宋体"/>
          <w:sz w:val="24"/>
          <w:szCs w:val="24"/>
        </w:rPr>
        <w:t>2.2</w:t>
      </w:r>
      <w:r>
        <w:rPr>
          <w:rFonts w:hint="eastAsia" w:ascii="宋体" w:hAnsi="宋体" w:eastAsia="宋体" w:cs="宋体"/>
          <w:sz w:val="24"/>
          <w:szCs w:val="24"/>
        </w:rPr>
        <w:t>战略共赢目标要求</w:t>
      </w:r>
      <w:bookmarkEnd w:id="139"/>
      <w:bookmarkEnd w:id="140"/>
      <w:bookmarkEnd w:id="141"/>
      <w:bookmarkEnd w:id="142"/>
      <w:bookmarkEnd w:id="143"/>
      <w:bookmarkEnd w:id="144"/>
    </w:p>
    <w:p>
      <w:pPr>
        <w:spacing w:line="360" w:lineRule="auto"/>
        <w:ind w:firstLine="480" w:firstLineChars="200"/>
        <w:rPr>
          <w:rFonts w:ascii="宋体"/>
        </w:rPr>
      </w:pPr>
      <w:r>
        <w:rPr>
          <w:rFonts w:hint="eastAsia" w:ascii="宋体" w:hAnsi="宋体" w:cs="宋体"/>
        </w:rPr>
        <w:t>投标人必须以招标文件为起点，依照采购人的整体业务规划和战略目标，加大新技术的开发应用，加大对甘肃警察职业学院运维项目的投入力度，从战略高度和长远发展角度，深层次、高水平地推动双方合作，在保证甘肃警察职业学院稳定运行的基础上主动创新，保证技术的先进性，将前沿技术应用到甘肃警察职业学院的运维与发展的实际工作中，并探索一条政府主导与企业运作相结合，充分发挥市场优势和企业特长、充分利用甘肃警察职业学院与投标人共赢发展的道路，把甘肃警察职业学院信息化系统建设成为一流的校园信息化的水平。</w:t>
      </w:r>
      <w:bookmarkStart w:id="145" w:name="_Toc323818640"/>
      <w:bookmarkStart w:id="146" w:name="_Toc298247074"/>
      <w:bookmarkStart w:id="147" w:name="_Toc277058070"/>
    </w:p>
    <w:p>
      <w:pPr>
        <w:pStyle w:val="3"/>
        <w:numPr>
          <w:ilvl w:val="0"/>
          <w:numId w:val="0"/>
        </w:numPr>
        <w:snapToGrid w:val="0"/>
        <w:rPr>
          <w:rFonts w:ascii="宋体" w:hAnsi="宋体" w:eastAsia="宋体" w:cs="Times New Roman"/>
          <w:sz w:val="24"/>
          <w:szCs w:val="24"/>
        </w:rPr>
      </w:pPr>
      <w:bookmarkStart w:id="148" w:name="_Toc323818636"/>
      <w:bookmarkStart w:id="149" w:name="_Toc29338"/>
      <w:bookmarkStart w:id="150" w:name="_Toc1429165"/>
      <w:r>
        <w:rPr>
          <w:rFonts w:ascii="宋体" w:hAnsi="宋体" w:eastAsia="宋体" w:cs="宋体"/>
          <w:sz w:val="24"/>
          <w:szCs w:val="24"/>
        </w:rPr>
        <w:t>2.3</w:t>
      </w:r>
      <w:bookmarkEnd w:id="148"/>
      <w:r>
        <w:rPr>
          <w:rFonts w:hint="eastAsia" w:ascii="宋体" w:hAnsi="宋体" w:eastAsia="宋体" w:cs="宋体"/>
          <w:sz w:val="24"/>
          <w:szCs w:val="24"/>
        </w:rPr>
        <w:t>投标人能力要求</w:t>
      </w:r>
      <w:bookmarkEnd w:id="149"/>
      <w:bookmarkEnd w:id="150"/>
    </w:p>
    <w:p>
      <w:pPr>
        <w:snapToGrid w:val="0"/>
        <w:spacing w:before="120" w:line="360" w:lineRule="auto"/>
        <w:ind w:firstLine="480" w:firstLineChars="200"/>
        <w:rPr>
          <w:rFonts w:ascii="宋体"/>
        </w:rPr>
      </w:pPr>
      <w:r>
        <w:rPr>
          <w:rFonts w:ascii="宋体" w:hAnsi="宋体" w:cs="宋体"/>
        </w:rPr>
        <w:t>1</w:t>
      </w:r>
      <w:r>
        <w:rPr>
          <w:rFonts w:hint="eastAsia" w:ascii="宋体" w:hAnsi="宋体" w:cs="宋体"/>
        </w:rPr>
        <w:t>）研究创新能力：协助校园信息化管理部门通过对把握教育信息化发展规律，研究教育信息化趋势，提出甘肃警察职业学院的创新发展规划；</w:t>
      </w:r>
    </w:p>
    <w:p>
      <w:pPr>
        <w:snapToGrid w:val="0"/>
        <w:spacing w:before="120" w:line="360" w:lineRule="auto"/>
        <w:ind w:firstLine="480" w:firstLineChars="200"/>
        <w:rPr>
          <w:rFonts w:ascii="宋体"/>
        </w:rPr>
      </w:pPr>
      <w:r>
        <w:rPr>
          <w:rFonts w:ascii="宋体" w:hAnsi="宋体" w:cs="宋体"/>
        </w:rPr>
        <w:t>2</w:t>
      </w:r>
      <w:r>
        <w:rPr>
          <w:rFonts w:hint="eastAsia" w:ascii="宋体" w:hAnsi="宋体" w:cs="宋体"/>
        </w:rPr>
        <w:t>）技术创新应用能力：有能力跟踪新技术发展，创新性地应用到甘肃警察职业学院，为甘肃警察职业学院信息化的长远发展服务；</w:t>
      </w:r>
    </w:p>
    <w:p>
      <w:pPr>
        <w:snapToGrid w:val="0"/>
        <w:spacing w:before="120" w:line="360" w:lineRule="auto"/>
        <w:ind w:firstLine="480" w:firstLineChars="200"/>
        <w:rPr>
          <w:rFonts w:ascii="宋体"/>
        </w:rPr>
      </w:pPr>
      <w:r>
        <w:rPr>
          <w:rFonts w:ascii="宋体" w:hAnsi="宋体" w:cs="宋体"/>
        </w:rPr>
        <w:t>4</w:t>
      </w:r>
      <w:r>
        <w:rPr>
          <w:rFonts w:hint="eastAsia" w:ascii="宋体" w:hAnsi="宋体" w:cs="宋体"/>
        </w:rPr>
        <w:t>）安全、高效的运维能力：有能力确保甘肃警察职业学院的安全、稳定、高效的运行。</w:t>
      </w:r>
    </w:p>
    <w:bookmarkEnd w:id="145"/>
    <w:p>
      <w:pPr>
        <w:pStyle w:val="3"/>
        <w:numPr>
          <w:ilvl w:val="0"/>
          <w:numId w:val="0"/>
        </w:numPr>
        <w:snapToGrid w:val="0"/>
        <w:spacing w:line="360" w:lineRule="auto"/>
        <w:rPr>
          <w:rFonts w:ascii="宋体" w:hAnsi="宋体" w:eastAsia="宋体" w:cs="Times New Roman"/>
          <w:sz w:val="24"/>
          <w:szCs w:val="24"/>
        </w:rPr>
      </w:pPr>
      <w:bookmarkStart w:id="151" w:name="_Toc1429166"/>
      <w:r>
        <w:rPr>
          <w:rFonts w:ascii="宋体" w:hAnsi="宋体" w:eastAsia="宋体" w:cs="宋体"/>
          <w:sz w:val="24"/>
          <w:szCs w:val="24"/>
        </w:rPr>
        <w:t>2.4</w:t>
      </w:r>
      <w:r>
        <w:rPr>
          <w:rFonts w:hint="eastAsia" w:ascii="宋体" w:hAnsi="宋体" w:eastAsia="宋体" w:cs="宋体"/>
          <w:sz w:val="24"/>
          <w:szCs w:val="24"/>
        </w:rPr>
        <w:t>商务条件</w:t>
      </w:r>
      <w:bookmarkEnd w:id="151"/>
    </w:p>
    <w:p>
      <w:pPr>
        <w:spacing w:line="360" w:lineRule="auto"/>
        <w:ind w:firstLine="480" w:firstLineChars="200"/>
        <w:rPr>
          <w:rFonts w:ascii="宋体"/>
        </w:rPr>
      </w:pPr>
      <w:r>
        <w:rPr>
          <w:rFonts w:ascii="宋体" w:hAnsi="宋体" w:cs="宋体"/>
        </w:rPr>
        <w:t>1</w:t>
      </w:r>
      <w:r>
        <w:rPr>
          <w:rFonts w:hint="eastAsia" w:ascii="宋体" w:hAnsi="宋体" w:cs="宋体"/>
        </w:rPr>
        <w:t>）服务期限：签订合同后服务期为一年。</w:t>
      </w:r>
    </w:p>
    <w:p>
      <w:pPr>
        <w:spacing w:line="360" w:lineRule="auto"/>
        <w:ind w:firstLine="480" w:firstLineChars="200"/>
        <w:rPr>
          <w:rFonts w:ascii="宋体"/>
        </w:rPr>
      </w:pPr>
      <w:r>
        <w:rPr>
          <w:rFonts w:ascii="宋体" w:hAnsi="宋体" w:cs="宋体"/>
        </w:rPr>
        <w:t>2</w:t>
      </w:r>
      <w:r>
        <w:rPr>
          <w:rFonts w:hint="eastAsia" w:ascii="宋体" w:hAnsi="宋体" w:cs="宋体"/>
        </w:rPr>
        <w:t>）服务地点：甲方指定地点（到房间）。</w:t>
      </w:r>
    </w:p>
    <w:p>
      <w:pPr>
        <w:spacing w:line="360" w:lineRule="auto"/>
        <w:ind w:firstLine="480" w:firstLineChars="200"/>
        <w:rPr>
          <w:rFonts w:ascii="宋体"/>
        </w:rPr>
      </w:pPr>
      <w:r>
        <w:rPr>
          <w:rFonts w:ascii="宋体" w:hAnsi="宋体" w:cs="宋体"/>
        </w:rPr>
        <w:t>3</w:t>
      </w:r>
      <w:r>
        <w:rPr>
          <w:rFonts w:hint="eastAsia" w:ascii="宋体" w:hAnsi="宋体" w:cs="宋体"/>
        </w:rPr>
        <w:t>）服务流程：</w:t>
      </w:r>
    </w:p>
    <w:p>
      <w:pPr>
        <w:numPr>
          <w:ilvl w:val="0"/>
          <w:numId w:val="34"/>
        </w:numPr>
        <w:spacing w:line="360" w:lineRule="auto"/>
        <w:rPr>
          <w:rFonts w:ascii="宋体"/>
          <w:lang w:val="zh-CN"/>
        </w:rPr>
      </w:pPr>
      <w:r>
        <w:rPr>
          <w:rFonts w:hint="eastAsia" w:ascii="宋体" w:hAnsi="宋体" w:cs="宋体"/>
          <w:lang w:val="zh-CN"/>
        </w:rPr>
        <w:t>常规运维服务：服务供应商应按照甲方要求，按时提交常规运维日志、周志和月度报告，做好学期初和学期末设备的巡检和维护。</w:t>
      </w:r>
    </w:p>
    <w:p>
      <w:pPr>
        <w:numPr>
          <w:ilvl w:val="0"/>
          <w:numId w:val="34"/>
        </w:numPr>
        <w:spacing w:line="360" w:lineRule="auto"/>
        <w:rPr>
          <w:rFonts w:ascii="宋体"/>
          <w:lang w:val="zh-CN"/>
        </w:rPr>
      </w:pPr>
      <w:r>
        <w:rPr>
          <w:rFonts w:hint="eastAsia" w:ascii="宋体" w:hAnsi="宋体" w:cs="宋体"/>
          <w:lang w:val="zh-CN"/>
        </w:rPr>
        <w:t>设备维修服务：对于每一笔维修项目，服务供应商应按照要求提供《设备维修登记表》和相关凭证单据等，并及时提交给甲方。</w:t>
      </w:r>
    </w:p>
    <w:p>
      <w:pPr>
        <w:pStyle w:val="3"/>
        <w:numPr>
          <w:ilvl w:val="0"/>
          <w:numId w:val="0"/>
        </w:numPr>
        <w:snapToGrid w:val="0"/>
        <w:spacing w:line="360" w:lineRule="auto"/>
        <w:rPr>
          <w:rFonts w:ascii="宋体" w:hAnsi="宋体" w:eastAsia="宋体" w:cs="Times New Roman"/>
          <w:sz w:val="24"/>
          <w:szCs w:val="24"/>
        </w:rPr>
      </w:pPr>
      <w:bookmarkStart w:id="152" w:name="_Toc1429167"/>
      <w:r>
        <w:rPr>
          <w:rFonts w:ascii="宋体" w:hAnsi="宋体" w:eastAsia="宋体" w:cs="宋体"/>
          <w:sz w:val="24"/>
          <w:szCs w:val="24"/>
        </w:rPr>
        <w:t>2.5</w:t>
      </w:r>
      <w:r>
        <w:rPr>
          <w:rFonts w:hint="eastAsia" w:ascii="宋体" w:hAnsi="宋体" w:eastAsia="宋体" w:cs="宋体"/>
          <w:sz w:val="24"/>
          <w:szCs w:val="24"/>
        </w:rPr>
        <w:t>运维费支付方式</w:t>
      </w:r>
      <w:bookmarkEnd w:id="152"/>
    </w:p>
    <w:p>
      <w:pPr>
        <w:spacing w:line="360" w:lineRule="auto"/>
        <w:ind w:firstLine="480" w:firstLineChars="200"/>
        <w:rPr>
          <w:rFonts w:ascii="宋体"/>
        </w:rPr>
      </w:pPr>
      <w:r>
        <w:rPr>
          <w:rFonts w:hint="eastAsia" w:ascii="宋体" w:hAnsi="宋体" w:cs="宋体"/>
        </w:rPr>
        <w:t>合同签订前，服务供应商向甲方缴纳合同额</w:t>
      </w:r>
      <w:r>
        <w:rPr>
          <w:rFonts w:ascii="宋体" w:hAnsi="宋体" w:cs="宋体"/>
        </w:rPr>
        <w:t>1</w:t>
      </w:r>
      <w:r>
        <w:rPr>
          <w:rFonts w:ascii="宋体" w:cs="宋体"/>
        </w:rPr>
        <w:t>0</w:t>
      </w:r>
      <w:r>
        <w:rPr>
          <w:rFonts w:ascii="宋体" w:hAnsi="宋体" w:cs="宋体"/>
        </w:rPr>
        <w:t>%</w:t>
      </w:r>
      <w:r>
        <w:rPr>
          <w:rFonts w:hint="eastAsia" w:ascii="宋体" w:hAnsi="宋体" w:cs="宋体"/>
        </w:rPr>
        <w:t>履约保证金。签订合同后</w:t>
      </w:r>
      <w:r>
        <w:rPr>
          <w:rFonts w:ascii="宋体" w:hAnsi="宋体" w:cs="宋体"/>
        </w:rPr>
        <w:t>1</w:t>
      </w:r>
      <w:r>
        <w:rPr>
          <w:rFonts w:ascii="宋体" w:cs="宋体"/>
        </w:rPr>
        <w:t>0</w:t>
      </w:r>
      <w:r>
        <w:rPr>
          <w:rFonts w:hint="eastAsia" w:ascii="宋体" w:hAnsi="宋体" w:cs="宋体"/>
        </w:rPr>
        <w:t>日内，甲方支付合同额的</w:t>
      </w:r>
      <w:r>
        <w:rPr>
          <w:rFonts w:ascii="宋体" w:hAnsi="宋体" w:cs="宋体"/>
        </w:rPr>
        <w:t>5</w:t>
      </w:r>
      <w:r>
        <w:rPr>
          <w:rFonts w:ascii="宋体" w:cs="宋体"/>
        </w:rPr>
        <w:t>0</w:t>
      </w:r>
      <w:r>
        <w:rPr>
          <w:rFonts w:ascii="宋体" w:hAnsi="宋体" w:cs="宋体"/>
        </w:rPr>
        <w:t>%</w:t>
      </w:r>
      <w:r>
        <w:rPr>
          <w:rFonts w:hint="eastAsia" w:ascii="宋体" w:hAnsi="宋体" w:cs="宋体"/>
        </w:rPr>
        <w:t>，合同服务期满并验收合格后</w:t>
      </w:r>
      <w:r>
        <w:rPr>
          <w:rFonts w:ascii="宋体" w:hAnsi="宋体" w:cs="宋体"/>
        </w:rPr>
        <w:t>30</w:t>
      </w:r>
      <w:r>
        <w:rPr>
          <w:rFonts w:hint="eastAsia" w:ascii="宋体" w:hAnsi="宋体" w:cs="宋体"/>
        </w:rPr>
        <w:t>日内，甲方支付剩余合同额</w:t>
      </w:r>
      <w:r>
        <w:rPr>
          <w:rFonts w:ascii="宋体" w:hAnsi="宋体" w:cs="宋体"/>
        </w:rPr>
        <w:t>5</w:t>
      </w:r>
      <w:r>
        <w:rPr>
          <w:rFonts w:ascii="宋体" w:cs="宋体"/>
        </w:rPr>
        <w:t>0</w:t>
      </w:r>
      <w:r>
        <w:rPr>
          <w:rFonts w:ascii="宋体" w:hAnsi="宋体" w:cs="宋体"/>
        </w:rPr>
        <w:t>%</w:t>
      </w:r>
      <w:r>
        <w:rPr>
          <w:rFonts w:hint="eastAsia" w:ascii="宋体" w:hAnsi="宋体" w:cs="宋体"/>
        </w:rPr>
        <w:t>给服务供应商，同时，无息返还合同额的</w:t>
      </w:r>
      <w:r>
        <w:rPr>
          <w:rFonts w:ascii="宋体" w:hAnsi="宋体" w:cs="宋体"/>
        </w:rPr>
        <w:t>1</w:t>
      </w:r>
      <w:r>
        <w:rPr>
          <w:rFonts w:ascii="宋体" w:cs="宋体"/>
        </w:rPr>
        <w:t>0</w:t>
      </w:r>
      <w:r>
        <w:rPr>
          <w:rFonts w:ascii="宋体" w:hAnsi="宋体" w:cs="宋体"/>
        </w:rPr>
        <w:t>%</w:t>
      </w:r>
      <w:r>
        <w:rPr>
          <w:rFonts w:hint="eastAsia" w:ascii="宋体" w:hAnsi="宋体" w:cs="宋体"/>
        </w:rPr>
        <w:t>的履约保证金。</w:t>
      </w:r>
    </w:p>
    <w:bookmarkEnd w:id="146"/>
    <w:bookmarkEnd w:id="147"/>
    <w:p>
      <w:pPr>
        <w:pStyle w:val="3"/>
        <w:numPr>
          <w:ilvl w:val="0"/>
          <w:numId w:val="0"/>
        </w:numPr>
        <w:snapToGrid w:val="0"/>
        <w:spacing w:line="360" w:lineRule="auto"/>
        <w:rPr>
          <w:rFonts w:ascii="宋体" w:hAnsi="宋体" w:eastAsia="宋体" w:cs="Times New Roman"/>
          <w:sz w:val="24"/>
          <w:szCs w:val="24"/>
        </w:rPr>
      </w:pPr>
      <w:bookmarkStart w:id="153" w:name="_Toc285470323"/>
      <w:bookmarkEnd w:id="153"/>
      <w:bookmarkStart w:id="154" w:name="_Toc285470315"/>
      <w:bookmarkEnd w:id="154"/>
      <w:bookmarkStart w:id="155" w:name="_Toc285482818"/>
      <w:bookmarkEnd w:id="155"/>
      <w:bookmarkStart w:id="156" w:name="_Toc285482819"/>
      <w:bookmarkEnd w:id="156"/>
      <w:bookmarkStart w:id="157" w:name="_Toc285470503"/>
      <w:bookmarkEnd w:id="157"/>
      <w:bookmarkStart w:id="158" w:name="_Toc285470495"/>
      <w:bookmarkEnd w:id="158"/>
      <w:bookmarkStart w:id="159" w:name="_Toc285482811"/>
      <w:bookmarkEnd w:id="159"/>
      <w:bookmarkStart w:id="160" w:name="_Toc285470316"/>
      <w:bookmarkEnd w:id="160"/>
      <w:bookmarkStart w:id="161" w:name="_Toc285470496"/>
      <w:bookmarkEnd w:id="161"/>
      <w:bookmarkStart w:id="162" w:name="_Toc285482812"/>
      <w:bookmarkEnd w:id="162"/>
      <w:bookmarkStart w:id="163" w:name="_Toc285470317"/>
      <w:bookmarkEnd w:id="163"/>
      <w:bookmarkStart w:id="164" w:name="_Toc285470497"/>
      <w:bookmarkEnd w:id="164"/>
      <w:bookmarkStart w:id="165" w:name="_Toc285482813"/>
      <w:bookmarkEnd w:id="165"/>
      <w:bookmarkStart w:id="166" w:name="_Toc285470318"/>
      <w:bookmarkEnd w:id="166"/>
      <w:bookmarkStart w:id="167" w:name="_Toc285470498"/>
      <w:bookmarkEnd w:id="167"/>
      <w:bookmarkStart w:id="168" w:name="_Toc285482814"/>
      <w:bookmarkEnd w:id="168"/>
      <w:bookmarkStart w:id="169" w:name="_Toc285470320"/>
      <w:bookmarkEnd w:id="169"/>
      <w:bookmarkStart w:id="170" w:name="_Toc285470500"/>
      <w:bookmarkEnd w:id="170"/>
      <w:bookmarkStart w:id="171" w:name="_Toc285482816"/>
      <w:bookmarkEnd w:id="171"/>
      <w:bookmarkStart w:id="172" w:name="_Toc285470321"/>
      <w:bookmarkEnd w:id="172"/>
      <w:bookmarkStart w:id="173" w:name="_Toc285470501"/>
      <w:bookmarkEnd w:id="173"/>
      <w:bookmarkStart w:id="174" w:name="_Toc285482817"/>
      <w:bookmarkEnd w:id="174"/>
      <w:bookmarkStart w:id="175" w:name="_Toc285470322"/>
      <w:bookmarkEnd w:id="175"/>
      <w:bookmarkStart w:id="176" w:name="_Toc285470502"/>
      <w:bookmarkEnd w:id="176"/>
      <w:bookmarkStart w:id="177" w:name="_Toc298247076"/>
      <w:bookmarkStart w:id="178" w:name="_Toc323818650"/>
      <w:bookmarkStart w:id="179" w:name="_Toc277058077"/>
      <w:bookmarkStart w:id="180" w:name="_Toc332870433"/>
      <w:bookmarkStart w:id="181" w:name="_Toc332370186"/>
      <w:bookmarkStart w:id="182" w:name="_Toc1429168"/>
      <w:bookmarkStart w:id="183" w:name="_Toc29370"/>
      <w:r>
        <w:rPr>
          <w:rFonts w:ascii="宋体" w:hAnsi="宋体" w:eastAsia="宋体" w:cs="宋体"/>
          <w:sz w:val="24"/>
          <w:szCs w:val="24"/>
        </w:rPr>
        <w:t>2.6</w:t>
      </w:r>
      <w:r>
        <w:rPr>
          <w:rFonts w:hint="eastAsia" w:ascii="宋体" w:hAnsi="宋体" w:eastAsia="宋体" w:cs="宋体"/>
          <w:sz w:val="24"/>
          <w:szCs w:val="24"/>
        </w:rPr>
        <w:t>确保平滑稳定迁移</w:t>
      </w:r>
      <w:bookmarkEnd w:id="177"/>
      <w:bookmarkEnd w:id="178"/>
      <w:bookmarkEnd w:id="179"/>
      <w:bookmarkEnd w:id="180"/>
      <w:bookmarkEnd w:id="181"/>
      <w:bookmarkEnd w:id="182"/>
      <w:bookmarkEnd w:id="183"/>
    </w:p>
    <w:p>
      <w:pPr>
        <w:snapToGrid w:val="0"/>
        <w:spacing w:before="163" w:line="360" w:lineRule="auto"/>
        <w:ind w:firstLine="480" w:firstLineChars="200"/>
        <w:rPr>
          <w:rFonts w:ascii="宋体"/>
        </w:rPr>
      </w:pPr>
      <w:r>
        <w:rPr>
          <w:rFonts w:hint="eastAsia" w:ascii="宋体" w:hAnsi="宋体" w:cs="宋体"/>
        </w:rPr>
        <w:t>合同执行结束后，投标人应确保运维工作平滑稳定地迁移到下一个运维服务团队，投标人须承诺在合同结束至新的投标人到位期间，继续提供原合同规定的运维服务内容和服务水平，服务费用按当年实际服务时间比例分配。</w:t>
      </w:r>
    </w:p>
    <w:p>
      <w:pPr>
        <w:snapToGrid w:val="0"/>
        <w:spacing w:before="163" w:line="360" w:lineRule="auto"/>
        <w:ind w:firstLine="480" w:firstLineChars="200"/>
        <w:rPr>
          <w:rFonts w:ascii="宋体"/>
        </w:rPr>
      </w:pPr>
      <w:r>
        <w:rPr>
          <w:rFonts w:hint="eastAsia" w:ascii="宋体" w:hAnsi="宋体" w:cs="宋体"/>
        </w:rPr>
        <w:t>投标人应制定详细的交接工作计划，包括概况、目标、实施内容（包括不限于系统建设方面、信息资源保存方面等）、质量保证措施、进度安排、应急预案等内容，并报采购人进行备份，同时作为采购人检查的依据。</w:t>
      </w:r>
      <w:r>
        <w:rPr>
          <w:rFonts w:ascii="宋体" w:hAnsi="宋体" w:cs="宋体"/>
        </w:rPr>
        <w:t xml:space="preserve"> </w:t>
      </w:r>
    </w:p>
    <w:p>
      <w:pPr>
        <w:snapToGrid w:val="0"/>
        <w:spacing w:before="163" w:line="360" w:lineRule="auto"/>
        <w:ind w:firstLine="480" w:firstLineChars="200"/>
        <w:rPr>
          <w:rFonts w:ascii="宋体"/>
        </w:rPr>
      </w:pPr>
      <w:r>
        <w:rPr>
          <w:rFonts w:hint="eastAsia" w:ascii="宋体" w:hAnsi="宋体" w:cs="宋体"/>
        </w:rPr>
        <w:t>投标人必须承诺在不低于原服务商运维服务水平的前提下，保证项目各种资源的全面、平稳交接，主要包括硬件设备、软件应用、网络环境、数据文档、信息资源、服务资源、相关制度等。投标人须在交接前完成运维服务和管理团队的组建工作。</w:t>
      </w:r>
    </w:p>
    <w:p>
      <w:pPr>
        <w:snapToGrid w:val="0"/>
        <w:spacing w:before="163" w:line="360" w:lineRule="auto"/>
        <w:ind w:firstLine="480" w:firstLineChars="200"/>
        <w:rPr>
          <w:rFonts w:ascii="宋体"/>
        </w:rPr>
      </w:pPr>
      <w:r>
        <w:rPr>
          <w:rFonts w:hint="eastAsia" w:ascii="宋体" w:hAnsi="宋体" w:cs="宋体"/>
        </w:rPr>
        <w:t>投标人应确保在交接期间，基于原有工作流程和管理模式进行技术与内容的运行维护，保证校园信息化系统运行稳定高效，无安全事故，内容服务不间断。</w:t>
      </w:r>
    </w:p>
    <w:p>
      <w:pPr>
        <w:snapToGrid w:val="0"/>
        <w:spacing w:before="163" w:line="360" w:lineRule="auto"/>
        <w:ind w:firstLine="480" w:firstLineChars="200"/>
        <w:rPr>
          <w:rFonts w:ascii="宋体"/>
        </w:rPr>
      </w:pPr>
      <w:r>
        <w:rPr>
          <w:rFonts w:hint="eastAsia" w:ascii="宋体" w:hAnsi="宋体" w:cs="宋体"/>
        </w:rPr>
        <w:t>为确保平稳过渡，要求继续沿用现有的软硬件配置、网络结构及核心技术应用至少一年。</w:t>
      </w:r>
    </w:p>
    <w:p>
      <w:pPr>
        <w:snapToGrid w:val="0"/>
        <w:spacing w:before="163" w:line="360" w:lineRule="auto"/>
        <w:ind w:firstLine="480" w:firstLineChars="200"/>
        <w:rPr>
          <w:rFonts w:ascii="宋体"/>
        </w:rPr>
      </w:pPr>
      <w:r>
        <w:rPr>
          <w:rFonts w:hint="eastAsia" w:ascii="宋体" w:hAnsi="宋体" w:cs="宋体"/>
        </w:rPr>
        <w:t>原服务商所提供的专业性、关键内容建设服务人员在本人同意的前提下应转移至中标人，且应确保人员稳定。</w:t>
      </w:r>
    </w:p>
    <w:p>
      <w:pPr>
        <w:pStyle w:val="3"/>
        <w:numPr>
          <w:ilvl w:val="0"/>
          <w:numId w:val="0"/>
        </w:numPr>
        <w:snapToGrid w:val="0"/>
        <w:spacing w:line="360" w:lineRule="auto"/>
        <w:rPr>
          <w:rFonts w:ascii="宋体" w:hAnsi="宋体" w:eastAsia="宋体" w:cs="Times New Roman"/>
          <w:sz w:val="24"/>
          <w:szCs w:val="24"/>
        </w:rPr>
      </w:pPr>
      <w:bookmarkStart w:id="184" w:name="_Toc1429169"/>
      <w:bookmarkStart w:id="185" w:name="_Toc10045"/>
      <w:bookmarkStart w:id="186" w:name="_Toc323818649"/>
      <w:bookmarkStart w:id="187" w:name="_Toc298247075"/>
      <w:r>
        <w:rPr>
          <w:rFonts w:ascii="宋体" w:hAnsi="宋体" w:eastAsia="宋体" w:cs="宋体"/>
          <w:sz w:val="24"/>
          <w:szCs w:val="24"/>
        </w:rPr>
        <w:t>2.7</w:t>
      </w:r>
      <w:r>
        <w:rPr>
          <w:rFonts w:hint="eastAsia" w:ascii="宋体" w:hAnsi="宋体" w:eastAsia="宋体" w:cs="宋体"/>
          <w:sz w:val="24"/>
          <w:szCs w:val="24"/>
        </w:rPr>
        <w:t>技术先进性要求</w:t>
      </w:r>
      <w:bookmarkEnd w:id="184"/>
      <w:bookmarkEnd w:id="185"/>
      <w:bookmarkEnd w:id="186"/>
      <w:bookmarkEnd w:id="187"/>
    </w:p>
    <w:p>
      <w:pPr>
        <w:snapToGrid w:val="0"/>
        <w:spacing w:before="163" w:line="360" w:lineRule="auto"/>
        <w:ind w:firstLine="480"/>
        <w:rPr>
          <w:rFonts w:ascii="宋体"/>
        </w:rPr>
      </w:pPr>
      <w:r>
        <w:rPr>
          <w:rFonts w:hint="eastAsia" w:ascii="宋体" w:hAnsi="宋体" w:cs="宋体"/>
        </w:rPr>
        <w:t>投标人应不断创新和拓展服务内容，向采购人提供合理化建议，引导甘肃警察职业学院业务发展，合理化建议被采纳并有效执行的，采购人将根据绩效考核规定给予奖励。</w:t>
      </w:r>
    </w:p>
    <w:p>
      <w:pPr>
        <w:pStyle w:val="3"/>
        <w:numPr>
          <w:ilvl w:val="0"/>
          <w:numId w:val="0"/>
        </w:numPr>
        <w:snapToGrid w:val="0"/>
        <w:spacing w:line="360" w:lineRule="auto"/>
        <w:rPr>
          <w:rFonts w:ascii="宋体" w:hAnsi="宋体" w:eastAsia="宋体" w:cs="Times New Roman"/>
          <w:sz w:val="24"/>
          <w:szCs w:val="24"/>
        </w:rPr>
      </w:pPr>
      <w:bookmarkStart w:id="188" w:name="_Toc332870434"/>
      <w:bookmarkStart w:id="189" w:name="_Toc332370187"/>
      <w:bookmarkStart w:id="190" w:name="_Toc323818651"/>
      <w:bookmarkStart w:id="191" w:name="_Toc298247077"/>
      <w:bookmarkStart w:id="192" w:name="_Toc277058078"/>
      <w:bookmarkStart w:id="193" w:name="_Toc23830"/>
      <w:bookmarkStart w:id="194" w:name="_Toc1429170"/>
      <w:r>
        <w:rPr>
          <w:rFonts w:ascii="宋体" w:hAnsi="宋体" w:eastAsia="宋体" w:cs="宋体"/>
          <w:sz w:val="24"/>
          <w:szCs w:val="24"/>
        </w:rPr>
        <w:t>2.8</w:t>
      </w:r>
      <w:r>
        <w:rPr>
          <w:rFonts w:hint="eastAsia" w:ascii="宋体" w:hAnsi="宋体" w:eastAsia="宋体" w:cs="宋体"/>
          <w:sz w:val="24"/>
          <w:szCs w:val="24"/>
        </w:rPr>
        <w:t>其他说明</w:t>
      </w:r>
      <w:bookmarkEnd w:id="188"/>
      <w:bookmarkEnd w:id="189"/>
      <w:bookmarkEnd w:id="190"/>
      <w:bookmarkEnd w:id="191"/>
      <w:bookmarkEnd w:id="192"/>
      <w:bookmarkEnd w:id="193"/>
      <w:bookmarkEnd w:id="194"/>
    </w:p>
    <w:p>
      <w:pPr>
        <w:snapToGrid w:val="0"/>
        <w:spacing w:before="163" w:line="360" w:lineRule="auto"/>
        <w:ind w:firstLine="480" w:firstLineChars="200"/>
        <w:rPr>
          <w:rFonts w:ascii="宋体"/>
        </w:rPr>
      </w:pPr>
      <w:r>
        <w:rPr>
          <w:rFonts w:hint="eastAsia" w:ascii="宋体" w:hAnsi="宋体" w:cs="宋体"/>
        </w:rPr>
        <w:t>对于运维的具体工作内容，采购人可以根据实际运维情况及项目需求情况，随时与投标人协商，进行运维内容的增、减，投标人应满足达到采购人的要求。</w:t>
      </w:r>
    </w:p>
    <w:p>
      <w:pPr>
        <w:snapToGrid w:val="0"/>
        <w:spacing w:before="163" w:line="360" w:lineRule="auto"/>
        <w:ind w:firstLine="480" w:firstLineChars="200"/>
        <w:rPr>
          <w:rFonts w:ascii="宋体"/>
        </w:rPr>
      </w:pPr>
      <w:r>
        <w:rPr>
          <w:rFonts w:hint="eastAsia" w:ascii="宋体" w:hAnsi="宋体" w:cs="宋体"/>
        </w:rPr>
        <w:t>投标人制定的相关规程、制度等应根据实际需要及采购人要求进行完善，直至满足采购人要求为止。</w:t>
      </w:r>
    </w:p>
    <w:p>
      <w:pPr>
        <w:pStyle w:val="2"/>
        <w:numPr>
          <w:ilvl w:val="0"/>
          <w:numId w:val="0"/>
        </w:numPr>
        <w:snapToGrid w:val="0"/>
        <w:spacing w:line="360" w:lineRule="auto"/>
        <w:rPr>
          <w:rFonts w:ascii="宋体"/>
          <w:sz w:val="24"/>
          <w:szCs w:val="24"/>
        </w:rPr>
      </w:pPr>
      <w:bookmarkStart w:id="195" w:name="_Toc281494828"/>
      <w:bookmarkStart w:id="196" w:name="_Toc298247078"/>
      <w:bookmarkStart w:id="197" w:name="_Toc323818652"/>
      <w:bookmarkStart w:id="198" w:name="_Toc332370188"/>
      <w:bookmarkStart w:id="199" w:name="_Toc332870435"/>
      <w:bookmarkStart w:id="200" w:name="_Toc25489"/>
      <w:bookmarkStart w:id="201" w:name="_Toc1429171"/>
      <w:r>
        <w:rPr>
          <w:rFonts w:ascii="宋体" w:hAnsi="宋体" w:cs="宋体"/>
          <w:sz w:val="24"/>
          <w:szCs w:val="24"/>
        </w:rPr>
        <w:t>3.</w:t>
      </w:r>
      <w:r>
        <w:rPr>
          <w:rFonts w:hint="eastAsia" w:ascii="宋体" w:hAnsi="宋体" w:cs="宋体"/>
          <w:sz w:val="24"/>
          <w:szCs w:val="24"/>
        </w:rPr>
        <w:t>运维服务</w:t>
      </w:r>
      <w:bookmarkEnd w:id="195"/>
      <w:r>
        <w:rPr>
          <w:rFonts w:hint="eastAsia" w:ascii="宋体" w:hAnsi="宋体" w:cs="宋体"/>
          <w:sz w:val="24"/>
          <w:szCs w:val="24"/>
        </w:rPr>
        <w:t>需求与质量要求</w:t>
      </w:r>
      <w:bookmarkEnd w:id="196"/>
      <w:bookmarkEnd w:id="197"/>
      <w:bookmarkEnd w:id="198"/>
      <w:bookmarkEnd w:id="199"/>
      <w:bookmarkEnd w:id="200"/>
      <w:bookmarkEnd w:id="201"/>
      <w:bookmarkStart w:id="202" w:name="_Toc332370189"/>
      <w:bookmarkStart w:id="203" w:name="_Toc332870436"/>
      <w:bookmarkStart w:id="204" w:name="_Toc281310262"/>
      <w:bookmarkStart w:id="205" w:name="_Toc298247079"/>
      <w:bookmarkStart w:id="206" w:name="_Toc323818653"/>
    </w:p>
    <w:p>
      <w:pPr>
        <w:pStyle w:val="3"/>
        <w:numPr>
          <w:ilvl w:val="0"/>
          <w:numId w:val="0"/>
        </w:numPr>
        <w:spacing w:line="360" w:lineRule="auto"/>
        <w:jc w:val="both"/>
        <w:rPr>
          <w:rFonts w:ascii="宋体" w:hAnsi="宋体" w:eastAsia="宋体" w:cs="Times New Roman"/>
          <w:sz w:val="24"/>
          <w:szCs w:val="24"/>
        </w:rPr>
      </w:pPr>
      <w:bookmarkStart w:id="207" w:name="_Toc12667"/>
      <w:bookmarkStart w:id="208" w:name="_Toc1429172"/>
      <w:r>
        <w:rPr>
          <w:rFonts w:ascii="宋体" w:hAnsi="宋体" w:eastAsia="宋体" w:cs="宋体"/>
          <w:sz w:val="24"/>
          <w:szCs w:val="24"/>
        </w:rPr>
        <w:t>3.1</w:t>
      </w:r>
      <w:r>
        <w:rPr>
          <w:rFonts w:hint="eastAsia" w:ascii="宋体" w:hAnsi="宋体" w:eastAsia="宋体" w:cs="宋体"/>
          <w:sz w:val="24"/>
          <w:szCs w:val="24"/>
        </w:rPr>
        <w:t>总体要求</w:t>
      </w:r>
      <w:bookmarkEnd w:id="202"/>
      <w:bookmarkEnd w:id="203"/>
      <w:bookmarkEnd w:id="207"/>
      <w:bookmarkEnd w:id="208"/>
    </w:p>
    <w:p>
      <w:pPr>
        <w:snapToGrid w:val="0"/>
        <w:spacing w:line="360" w:lineRule="auto"/>
        <w:ind w:firstLine="480" w:firstLineChars="200"/>
        <w:rPr>
          <w:rFonts w:ascii="宋体"/>
        </w:rPr>
      </w:pPr>
      <w:r>
        <w:rPr>
          <w:rFonts w:hint="eastAsia" w:ascii="宋体" w:hAnsi="宋体" w:cs="宋体"/>
        </w:rPr>
        <w:t>本项目需确保高度的安全性。要求全年提供稳定、安全、快捷、全面的信息和服务，保证甘肃警察职业学院校园信息化的基础设施供应能力，确保甘肃警察职业学院各类校园信息化系统稳定运行，重要系统业务可用性</w:t>
      </w:r>
      <w:r>
        <w:rPr>
          <w:rFonts w:ascii="宋体" w:hAnsi="宋体" w:cs="宋体"/>
        </w:rPr>
        <w:t>99.99%</w:t>
      </w:r>
      <w:r>
        <w:rPr>
          <w:rFonts w:hint="eastAsia" w:ascii="宋体" w:hAnsi="宋体" w:cs="宋体"/>
        </w:rPr>
        <w:t>（全年不可用时间小于</w:t>
      </w:r>
      <w:r>
        <w:rPr>
          <w:rFonts w:ascii="宋体" w:hAnsi="宋体" w:cs="宋体"/>
        </w:rPr>
        <w:t>52</w:t>
      </w:r>
      <w:r>
        <w:rPr>
          <w:rFonts w:hint="eastAsia" w:ascii="宋体" w:hAnsi="宋体" w:cs="宋体"/>
        </w:rPr>
        <w:t>分钟），其它系统可用性达到</w:t>
      </w:r>
      <w:r>
        <w:rPr>
          <w:rFonts w:ascii="宋体" w:hAnsi="宋体" w:cs="宋体"/>
        </w:rPr>
        <w:t>99.9%</w:t>
      </w:r>
      <w:r>
        <w:rPr>
          <w:rFonts w:hint="eastAsia" w:ascii="宋体" w:hAnsi="宋体" w:cs="宋体"/>
        </w:rPr>
        <w:t>，所有系统重点保障期</w:t>
      </w:r>
      <w:r>
        <w:rPr>
          <w:rFonts w:ascii="宋体" w:hAnsi="宋体" w:cs="宋体"/>
        </w:rPr>
        <w:t>100%</w:t>
      </w:r>
      <w:r>
        <w:rPr>
          <w:rFonts w:hint="eastAsia" w:ascii="宋体" w:hAnsi="宋体" w:cs="宋体"/>
        </w:rPr>
        <w:t>可用。</w:t>
      </w:r>
      <w:bookmarkEnd w:id="204"/>
      <w:bookmarkEnd w:id="205"/>
      <w:bookmarkEnd w:id="206"/>
      <w:bookmarkStart w:id="209" w:name="_Toc1429173"/>
      <w:bookmarkStart w:id="210" w:name="_Toc775"/>
      <w:bookmarkStart w:id="211" w:name="_Toc513016819"/>
    </w:p>
    <w:p>
      <w:pPr>
        <w:snapToGrid w:val="0"/>
        <w:spacing w:line="360" w:lineRule="auto"/>
        <w:ind w:firstLine="480" w:firstLineChars="200"/>
        <w:rPr>
          <w:rFonts w:ascii="宋体"/>
        </w:rPr>
      </w:pPr>
      <w:r>
        <w:rPr>
          <w:rFonts w:ascii="宋体" w:hAnsi="宋体" w:cs="宋体"/>
        </w:rPr>
        <w:t>3.2</w:t>
      </w:r>
      <w:r>
        <w:rPr>
          <w:rFonts w:hint="eastAsia" w:ascii="宋体" w:hAnsi="宋体" w:cs="宋体"/>
        </w:rPr>
        <w:t>服务内容</w:t>
      </w:r>
      <w:bookmarkEnd w:id="209"/>
    </w:p>
    <w:p>
      <w:pPr>
        <w:tabs>
          <w:tab w:val="left" w:pos="1428"/>
        </w:tabs>
        <w:spacing w:line="360" w:lineRule="auto"/>
        <w:ind w:firstLine="480" w:firstLineChars="200"/>
        <w:rPr>
          <w:rFonts w:ascii="宋体"/>
        </w:rPr>
      </w:pPr>
      <w:r>
        <w:rPr>
          <w:rFonts w:hint="eastAsia" w:ascii="宋体" w:hAnsi="宋体" w:cs="宋体"/>
        </w:rPr>
        <w:t>学校需要运维保障的信息化设备数量情况具体如下：</w:t>
      </w:r>
    </w:p>
    <w:p>
      <w:pPr>
        <w:tabs>
          <w:tab w:val="left" w:pos="1428"/>
        </w:tabs>
        <w:spacing w:line="360" w:lineRule="auto"/>
        <w:ind w:firstLine="480" w:firstLineChars="200"/>
        <w:rPr>
          <w:rFonts w:ascii="宋体"/>
        </w:rPr>
      </w:pPr>
      <w:r>
        <w:rPr>
          <w:rFonts w:hint="eastAsia" w:ascii="宋体" w:hAnsi="宋体" w:cs="宋体"/>
        </w:rPr>
        <w:t>（</w:t>
      </w:r>
      <w:r>
        <w:rPr>
          <w:rFonts w:ascii="宋体" w:hAnsi="宋体" w:cs="宋体"/>
        </w:rPr>
        <w:t>1</w:t>
      </w:r>
      <w:r>
        <w:rPr>
          <w:rFonts w:hint="eastAsia" w:ascii="宋体" w:hAnsi="宋体" w:cs="宋体"/>
        </w:rPr>
        <w:t>）新老校区办公台式电脑合计</w:t>
      </w:r>
      <w:r>
        <w:rPr>
          <w:rFonts w:ascii="宋体" w:hAnsi="宋体" w:cs="宋体"/>
        </w:rPr>
        <w:t>386</w:t>
      </w:r>
      <w:r>
        <w:rPr>
          <w:rFonts w:hint="eastAsia" w:ascii="宋体" w:hAnsi="宋体" w:cs="宋体"/>
        </w:rPr>
        <w:t>台，笔记本</w:t>
      </w:r>
      <w:r>
        <w:rPr>
          <w:rFonts w:ascii="宋体" w:hAnsi="宋体" w:cs="宋体"/>
        </w:rPr>
        <w:t>92</w:t>
      </w:r>
      <w:r>
        <w:rPr>
          <w:rFonts w:hint="eastAsia" w:ascii="宋体" w:hAnsi="宋体" w:cs="宋体"/>
        </w:rPr>
        <w:t>台，打印机</w:t>
      </w:r>
      <w:r>
        <w:rPr>
          <w:rFonts w:ascii="宋体" w:hAnsi="宋体" w:cs="宋体"/>
        </w:rPr>
        <w:t>300</w:t>
      </w:r>
      <w:r>
        <w:rPr>
          <w:rFonts w:hint="eastAsia" w:ascii="宋体" w:hAnsi="宋体" w:cs="宋体"/>
        </w:rPr>
        <w:t>台；</w:t>
      </w:r>
    </w:p>
    <w:p>
      <w:pPr>
        <w:tabs>
          <w:tab w:val="left" w:pos="1428"/>
        </w:tabs>
        <w:spacing w:line="360" w:lineRule="auto"/>
        <w:ind w:firstLine="480" w:firstLineChars="200"/>
        <w:rPr>
          <w:rFonts w:ascii="宋体"/>
        </w:rPr>
      </w:pPr>
      <w:r>
        <w:rPr>
          <w:rFonts w:hint="eastAsia" w:ascii="宋体" w:hAnsi="宋体" w:cs="宋体"/>
        </w:rPr>
        <w:t>（</w:t>
      </w:r>
      <w:r>
        <w:rPr>
          <w:rFonts w:ascii="宋体" w:hAnsi="宋体" w:cs="宋体"/>
        </w:rPr>
        <w:t>2</w:t>
      </w:r>
      <w:r>
        <w:rPr>
          <w:rFonts w:hint="eastAsia" w:ascii="宋体" w:hAnsi="宋体" w:cs="宋体"/>
        </w:rPr>
        <w:t>）多媒体教室老校区共有</w:t>
      </w:r>
      <w:r>
        <w:rPr>
          <w:rFonts w:ascii="宋体" w:hAnsi="宋体" w:cs="宋体"/>
        </w:rPr>
        <w:t>39</w:t>
      </w:r>
      <w:r>
        <w:rPr>
          <w:rFonts w:hint="eastAsia" w:ascii="宋体" w:hAnsi="宋体" w:cs="宋体"/>
        </w:rPr>
        <w:t>间，新校区</w:t>
      </w:r>
      <w:r>
        <w:rPr>
          <w:rFonts w:ascii="宋体" w:hAnsi="宋体" w:cs="宋体"/>
        </w:rPr>
        <w:t>80</w:t>
      </w:r>
      <w:r>
        <w:rPr>
          <w:rFonts w:hint="eastAsia" w:ascii="宋体" w:hAnsi="宋体" w:cs="宋体"/>
        </w:rPr>
        <w:t>间；阶梯教室老校区</w:t>
      </w:r>
      <w:r>
        <w:rPr>
          <w:rFonts w:ascii="宋体" w:hAnsi="宋体" w:cs="宋体"/>
        </w:rPr>
        <w:t>2</w:t>
      </w:r>
      <w:r>
        <w:rPr>
          <w:rFonts w:hint="eastAsia" w:ascii="宋体" w:hAnsi="宋体" w:cs="宋体"/>
        </w:rPr>
        <w:t>间，新校区</w:t>
      </w:r>
      <w:r>
        <w:rPr>
          <w:rFonts w:ascii="宋体" w:hAnsi="宋体" w:cs="宋体"/>
        </w:rPr>
        <w:t>6</w:t>
      </w:r>
      <w:r>
        <w:rPr>
          <w:rFonts w:hint="eastAsia" w:ascii="宋体" w:hAnsi="宋体" w:cs="宋体"/>
        </w:rPr>
        <w:t>间；报告厅老校区</w:t>
      </w:r>
      <w:r>
        <w:rPr>
          <w:rFonts w:ascii="宋体" w:hAnsi="宋体" w:cs="宋体"/>
        </w:rPr>
        <w:t>1</w:t>
      </w:r>
      <w:r>
        <w:rPr>
          <w:rFonts w:hint="eastAsia" w:ascii="宋体" w:hAnsi="宋体" w:cs="宋体"/>
        </w:rPr>
        <w:t>间，新校区学术报告厅</w:t>
      </w:r>
      <w:r>
        <w:rPr>
          <w:rFonts w:ascii="宋体" w:hAnsi="宋体" w:cs="宋体"/>
        </w:rPr>
        <w:t>1</w:t>
      </w:r>
      <w:r>
        <w:rPr>
          <w:rFonts w:hint="eastAsia" w:ascii="宋体" w:hAnsi="宋体" w:cs="宋体"/>
        </w:rPr>
        <w:t>间；互联网机房老校区</w:t>
      </w:r>
      <w:r>
        <w:rPr>
          <w:rFonts w:ascii="宋体" w:hAnsi="宋体" w:cs="宋体"/>
        </w:rPr>
        <w:t>2</w:t>
      </w:r>
      <w:r>
        <w:rPr>
          <w:rFonts w:hint="eastAsia" w:ascii="宋体" w:hAnsi="宋体" w:cs="宋体"/>
        </w:rPr>
        <w:t>间，新校区</w:t>
      </w:r>
      <w:r>
        <w:rPr>
          <w:rFonts w:ascii="宋体" w:hAnsi="宋体" w:cs="宋体"/>
        </w:rPr>
        <w:t>6</w:t>
      </w:r>
      <w:r>
        <w:rPr>
          <w:rFonts w:hint="eastAsia" w:ascii="宋体" w:hAnsi="宋体" w:cs="宋体"/>
        </w:rPr>
        <w:t>间；公安网机房老校区</w:t>
      </w:r>
      <w:r>
        <w:rPr>
          <w:rFonts w:ascii="宋体" w:hAnsi="宋体" w:cs="宋体"/>
        </w:rPr>
        <w:t>3</w:t>
      </w:r>
      <w:r>
        <w:rPr>
          <w:rFonts w:hint="eastAsia" w:ascii="宋体" w:hAnsi="宋体" w:cs="宋体"/>
        </w:rPr>
        <w:t>间，新校区</w:t>
      </w:r>
      <w:r>
        <w:rPr>
          <w:rFonts w:ascii="宋体" w:hAnsi="宋体" w:cs="宋体"/>
        </w:rPr>
        <w:t>1</w:t>
      </w:r>
      <w:r>
        <w:rPr>
          <w:rFonts w:hint="eastAsia" w:ascii="宋体" w:hAnsi="宋体" w:cs="宋体"/>
        </w:rPr>
        <w:t>间；培训用大教室新校区</w:t>
      </w:r>
      <w:r>
        <w:rPr>
          <w:rFonts w:ascii="宋体" w:hAnsi="宋体" w:cs="宋体"/>
        </w:rPr>
        <w:t>2</w:t>
      </w:r>
      <w:r>
        <w:rPr>
          <w:rFonts w:hint="eastAsia" w:ascii="宋体" w:hAnsi="宋体" w:cs="宋体"/>
        </w:rPr>
        <w:t>间；语音教室老校区</w:t>
      </w:r>
      <w:r>
        <w:rPr>
          <w:rFonts w:ascii="宋体" w:hAnsi="宋体" w:cs="宋体"/>
        </w:rPr>
        <w:t>1</w:t>
      </w:r>
      <w:r>
        <w:rPr>
          <w:rFonts w:hint="eastAsia" w:ascii="宋体" w:hAnsi="宋体" w:cs="宋体"/>
        </w:rPr>
        <w:t>间，新校区</w:t>
      </w:r>
      <w:r>
        <w:rPr>
          <w:rFonts w:ascii="宋体" w:hAnsi="宋体" w:cs="宋体"/>
        </w:rPr>
        <w:t>1</w:t>
      </w:r>
      <w:r>
        <w:rPr>
          <w:rFonts w:hint="eastAsia" w:ascii="宋体" w:hAnsi="宋体" w:cs="宋体"/>
        </w:rPr>
        <w:t>间；视频会议室老校区</w:t>
      </w:r>
      <w:r>
        <w:rPr>
          <w:rFonts w:ascii="宋体" w:hAnsi="宋体" w:cs="宋体"/>
        </w:rPr>
        <w:t>1</w:t>
      </w:r>
      <w:r>
        <w:rPr>
          <w:rFonts w:hint="eastAsia" w:ascii="宋体" w:hAnsi="宋体" w:cs="宋体"/>
        </w:rPr>
        <w:t>间；录播教室老校区</w:t>
      </w:r>
      <w:r>
        <w:rPr>
          <w:rFonts w:ascii="宋体" w:hAnsi="宋体" w:cs="宋体"/>
        </w:rPr>
        <w:t>1</w:t>
      </w:r>
      <w:r>
        <w:rPr>
          <w:rFonts w:hint="eastAsia" w:ascii="宋体" w:hAnsi="宋体" w:cs="宋体"/>
        </w:rPr>
        <w:t>间；上述机房、报告厅、会议室、阶梯教室有重大活动和会议时，投标人须按照采购人的要求进行全程保障工作。</w:t>
      </w:r>
    </w:p>
    <w:p>
      <w:pPr>
        <w:tabs>
          <w:tab w:val="left" w:pos="1428"/>
        </w:tabs>
        <w:spacing w:line="360" w:lineRule="auto"/>
        <w:ind w:firstLine="480" w:firstLineChars="200"/>
        <w:rPr>
          <w:rFonts w:ascii="宋体"/>
        </w:rPr>
      </w:pPr>
      <w:r>
        <w:rPr>
          <w:rFonts w:hint="eastAsia" w:ascii="宋体" w:hAnsi="宋体" w:cs="宋体"/>
        </w:rPr>
        <w:t>（</w:t>
      </w:r>
      <w:r>
        <w:rPr>
          <w:rFonts w:ascii="宋体" w:hAnsi="宋体" w:cs="宋体"/>
        </w:rPr>
        <w:t>3</w:t>
      </w:r>
      <w:r>
        <w:rPr>
          <w:rFonts w:hint="eastAsia" w:ascii="宋体" w:hAnsi="宋体" w:cs="宋体"/>
        </w:rPr>
        <w:t>）机房服务器数量老校区</w:t>
      </w:r>
      <w:r>
        <w:rPr>
          <w:rFonts w:ascii="宋体" w:hAnsi="宋体" w:cs="宋体"/>
        </w:rPr>
        <w:t>8</w:t>
      </w:r>
      <w:r>
        <w:rPr>
          <w:rFonts w:hint="eastAsia" w:ascii="宋体" w:hAnsi="宋体" w:cs="宋体"/>
        </w:rPr>
        <w:t>台，新校区</w:t>
      </w:r>
      <w:r>
        <w:rPr>
          <w:rFonts w:ascii="宋体" w:hAnsi="宋体" w:cs="宋体"/>
        </w:rPr>
        <w:t>35</w:t>
      </w:r>
      <w:r>
        <w:rPr>
          <w:rFonts w:hint="eastAsia" w:ascii="宋体" w:hAnsi="宋体" w:cs="宋体"/>
        </w:rPr>
        <w:t>台；</w:t>
      </w:r>
    </w:p>
    <w:p>
      <w:pPr>
        <w:tabs>
          <w:tab w:val="left" w:pos="1428"/>
        </w:tabs>
        <w:spacing w:line="360" w:lineRule="auto"/>
        <w:ind w:firstLine="480" w:firstLineChars="200"/>
        <w:rPr>
          <w:rFonts w:ascii="宋体"/>
        </w:rPr>
      </w:pPr>
      <w:r>
        <w:rPr>
          <w:rFonts w:hint="eastAsia" w:ascii="宋体" w:hAnsi="宋体" w:cs="宋体"/>
        </w:rPr>
        <w:t>（</w:t>
      </w:r>
      <w:r>
        <w:rPr>
          <w:rFonts w:ascii="宋体" w:hAnsi="宋体" w:cs="宋体"/>
        </w:rPr>
        <w:t>4</w:t>
      </w:r>
      <w:r>
        <w:rPr>
          <w:rFonts w:hint="eastAsia" w:ascii="宋体" w:hAnsi="宋体" w:cs="宋体"/>
        </w:rPr>
        <w:t>）交换机老校区</w:t>
      </w:r>
      <w:r>
        <w:rPr>
          <w:rFonts w:ascii="宋体" w:hAnsi="宋体" w:cs="宋体"/>
        </w:rPr>
        <w:t>61</w:t>
      </w:r>
      <w:r>
        <w:rPr>
          <w:rFonts w:hint="eastAsia" w:ascii="宋体" w:hAnsi="宋体" w:cs="宋体"/>
        </w:rPr>
        <w:t>台，新校区</w:t>
      </w:r>
      <w:r>
        <w:rPr>
          <w:rFonts w:ascii="宋体" w:hAnsi="宋体" w:cs="宋体"/>
        </w:rPr>
        <w:t>450</w:t>
      </w:r>
      <w:r>
        <w:rPr>
          <w:rFonts w:hint="eastAsia" w:ascii="宋体" w:hAnsi="宋体" w:cs="宋体"/>
        </w:rPr>
        <w:t>台；</w:t>
      </w:r>
    </w:p>
    <w:p>
      <w:pPr>
        <w:tabs>
          <w:tab w:val="left" w:pos="1428"/>
        </w:tabs>
        <w:spacing w:line="360" w:lineRule="auto"/>
        <w:ind w:firstLine="480" w:firstLineChars="200"/>
        <w:rPr>
          <w:rFonts w:ascii="宋体"/>
        </w:rPr>
      </w:pPr>
      <w:r>
        <w:rPr>
          <w:rFonts w:hint="eastAsia" w:ascii="宋体" w:hAnsi="宋体" w:cs="宋体"/>
        </w:rPr>
        <w:t>（</w:t>
      </w:r>
      <w:r>
        <w:rPr>
          <w:rFonts w:ascii="宋体" w:hAnsi="宋体" w:cs="宋体"/>
        </w:rPr>
        <w:t>5</w:t>
      </w:r>
      <w:r>
        <w:rPr>
          <w:rFonts w:hint="eastAsia" w:ascii="宋体" w:hAnsi="宋体" w:cs="宋体"/>
        </w:rPr>
        <w:t>）监控摄像头数量老校区</w:t>
      </w:r>
      <w:r>
        <w:rPr>
          <w:rFonts w:ascii="宋体" w:hAnsi="宋体" w:cs="宋体"/>
        </w:rPr>
        <w:t>635</w:t>
      </w:r>
      <w:r>
        <w:rPr>
          <w:rFonts w:hint="eastAsia" w:ascii="宋体" w:hAnsi="宋体" w:cs="宋体"/>
        </w:rPr>
        <w:t>个，新校区</w:t>
      </w:r>
      <w:r>
        <w:rPr>
          <w:rFonts w:ascii="宋体" w:hAnsi="宋体" w:cs="宋体"/>
        </w:rPr>
        <w:t>1213</w:t>
      </w:r>
      <w:r>
        <w:rPr>
          <w:rFonts w:hint="eastAsia" w:ascii="宋体" w:hAnsi="宋体" w:cs="宋体"/>
        </w:rPr>
        <w:t>个；</w:t>
      </w:r>
    </w:p>
    <w:p>
      <w:pPr>
        <w:tabs>
          <w:tab w:val="left" w:pos="1428"/>
        </w:tabs>
        <w:spacing w:line="360" w:lineRule="auto"/>
        <w:ind w:firstLine="480" w:firstLineChars="200"/>
        <w:rPr>
          <w:rFonts w:ascii="宋体"/>
        </w:rPr>
      </w:pPr>
      <w:r>
        <w:rPr>
          <w:rFonts w:hint="eastAsia" w:ascii="宋体" w:hAnsi="宋体" w:cs="宋体"/>
        </w:rPr>
        <w:t>（</w:t>
      </w:r>
      <w:r>
        <w:rPr>
          <w:rFonts w:ascii="宋体" w:hAnsi="宋体" w:cs="宋体"/>
        </w:rPr>
        <w:t>6</w:t>
      </w:r>
      <w:r>
        <w:rPr>
          <w:rFonts w:hint="eastAsia" w:ascii="宋体" w:hAnsi="宋体" w:cs="宋体"/>
        </w:rPr>
        <w:t>）硬盘录像机老校区</w:t>
      </w:r>
      <w:r>
        <w:rPr>
          <w:rFonts w:ascii="宋体" w:hAnsi="宋体" w:cs="宋体"/>
        </w:rPr>
        <w:t>31</w:t>
      </w:r>
      <w:r>
        <w:rPr>
          <w:rFonts w:hint="eastAsia" w:ascii="宋体" w:hAnsi="宋体" w:cs="宋体"/>
        </w:rPr>
        <w:t>个，新校区</w:t>
      </w:r>
      <w:r>
        <w:rPr>
          <w:rFonts w:ascii="宋体" w:hAnsi="宋体" w:cs="宋体"/>
        </w:rPr>
        <w:t>23</w:t>
      </w:r>
      <w:r>
        <w:rPr>
          <w:rFonts w:hint="eastAsia" w:ascii="宋体" w:hAnsi="宋体" w:cs="宋体"/>
        </w:rPr>
        <w:t>个；</w:t>
      </w:r>
    </w:p>
    <w:p>
      <w:pPr>
        <w:tabs>
          <w:tab w:val="left" w:pos="1428"/>
        </w:tabs>
        <w:spacing w:line="360" w:lineRule="auto"/>
        <w:ind w:firstLine="480" w:firstLineChars="200"/>
        <w:rPr>
          <w:rFonts w:ascii="宋体"/>
        </w:rPr>
      </w:pPr>
      <w:r>
        <w:rPr>
          <w:rFonts w:hint="eastAsia" w:ascii="宋体" w:hAnsi="宋体" w:cs="宋体"/>
        </w:rPr>
        <w:t>（</w:t>
      </w:r>
      <w:r>
        <w:rPr>
          <w:rFonts w:ascii="宋体" w:hAnsi="宋体" w:cs="宋体"/>
        </w:rPr>
        <w:t>7</w:t>
      </w:r>
      <w:r>
        <w:rPr>
          <w:rFonts w:hint="eastAsia" w:ascii="宋体" w:hAnsi="宋体" w:cs="宋体"/>
        </w:rPr>
        <w:t>）办公软件：新老校区的数字化校园、</w:t>
      </w:r>
      <w:r>
        <w:rPr>
          <w:rFonts w:ascii="宋体" w:hAnsi="宋体" w:cs="宋体"/>
        </w:rPr>
        <w:t>OA</w:t>
      </w:r>
      <w:r>
        <w:rPr>
          <w:rFonts w:hint="eastAsia" w:ascii="宋体" w:hAnsi="宋体" w:cs="宋体"/>
        </w:rPr>
        <w:t>办公系统、在线教育平台、校园一卡通、图书管理系统等。</w:t>
      </w:r>
    </w:p>
    <w:p>
      <w:pPr>
        <w:tabs>
          <w:tab w:val="left" w:pos="1428"/>
        </w:tabs>
        <w:spacing w:line="360" w:lineRule="auto"/>
        <w:ind w:firstLine="480" w:firstLineChars="200"/>
        <w:rPr>
          <w:rFonts w:ascii="宋体"/>
        </w:rPr>
      </w:pPr>
    </w:p>
    <w:p>
      <w:pPr>
        <w:pStyle w:val="3"/>
        <w:numPr>
          <w:ilvl w:val="0"/>
          <w:numId w:val="0"/>
        </w:numPr>
        <w:spacing w:line="360" w:lineRule="auto"/>
        <w:jc w:val="both"/>
        <w:rPr>
          <w:rFonts w:ascii="宋体" w:hAnsi="宋体" w:eastAsia="宋体" w:cs="Times New Roman"/>
          <w:sz w:val="24"/>
          <w:szCs w:val="24"/>
        </w:rPr>
      </w:pPr>
      <w:bookmarkStart w:id="212" w:name="_Toc1429174"/>
      <w:r>
        <w:rPr>
          <w:rFonts w:ascii="宋体" w:hAnsi="宋体" w:eastAsia="宋体" w:cs="宋体"/>
          <w:sz w:val="24"/>
          <w:szCs w:val="24"/>
        </w:rPr>
        <w:t>3.3</w:t>
      </w:r>
      <w:r>
        <w:rPr>
          <w:rFonts w:hint="eastAsia" w:ascii="宋体" w:hAnsi="宋体" w:eastAsia="宋体" w:cs="宋体"/>
          <w:sz w:val="24"/>
          <w:szCs w:val="24"/>
        </w:rPr>
        <w:t>服务范围</w:t>
      </w:r>
      <w:bookmarkEnd w:id="212"/>
    </w:p>
    <w:tbl>
      <w:tblPr>
        <w:tblStyle w:val="34"/>
        <w:tblW w:w="8508" w:type="dxa"/>
        <w:jc w:val="center"/>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
      <w:tblGrid>
        <w:gridCol w:w="825"/>
        <w:gridCol w:w="1391"/>
        <w:gridCol w:w="1559"/>
        <w:gridCol w:w="473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Ex>
        <w:trPr>
          <w:trHeight w:val="455" w:hRule="atLeast"/>
          <w:jc w:val="center"/>
        </w:trPr>
        <w:tc>
          <w:tcPr>
            <w:tcW w:w="825" w:type="dxa"/>
            <w:tcBorders>
              <w:top w:val="single" w:color="auto" w:sz="4" w:space="0"/>
            </w:tcBorders>
            <w:shd w:val="clear" w:color="auto" w:fill="FFFFFF"/>
            <w:vAlign w:val="center"/>
          </w:tcPr>
          <w:p>
            <w:pPr>
              <w:widowControl/>
              <w:jc w:val="center"/>
              <w:rPr>
                <w:rFonts w:ascii="宋体"/>
                <w:b/>
                <w:bCs/>
              </w:rPr>
            </w:pPr>
            <w:r>
              <w:rPr>
                <w:rFonts w:hint="eastAsia" w:ascii="宋体" w:hAnsi="宋体" w:cs="宋体"/>
                <w:b/>
                <w:bCs/>
              </w:rPr>
              <w:t>服务</w:t>
            </w:r>
          </w:p>
          <w:p>
            <w:pPr>
              <w:widowControl/>
              <w:jc w:val="center"/>
              <w:rPr>
                <w:rFonts w:ascii="宋体"/>
              </w:rPr>
            </w:pPr>
            <w:r>
              <w:rPr>
                <w:rFonts w:hint="eastAsia" w:ascii="宋体" w:hAnsi="宋体" w:cs="宋体"/>
                <w:b/>
                <w:bCs/>
              </w:rPr>
              <w:t>目标</w:t>
            </w:r>
          </w:p>
        </w:tc>
        <w:tc>
          <w:tcPr>
            <w:tcW w:w="1391" w:type="dxa"/>
            <w:tcBorders>
              <w:top w:val="single" w:color="auto" w:sz="4" w:space="0"/>
            </w:tcBorders>
            <w:shd w:val="clear" w:color="auto" w:fill="FFFFFF"/>
            <w:vAlign w:val="center"/>
          </w:tcPr>
          <w:p>
            <w:pPr>
              <w:widowControl/>
              <w:jc w:val="center"/>
              <w:rPr>
                <w:rFonts w:ascii="宋体"/>
              </w:rPr>
            </w:pPr>
            <w:r>
              <w:rPr>
                <w:rFonts w:hint="eastAsia" w:ascii="宋体" w:hAnsi="宋体" w:cs="宋体"/>
                <w:b/>
                <w:bCs/>
              </w:rPr>
              <w:t>基础运维</w:t>
            </w:r>
          </w:p>
        </w:tc>
        <w:tc>
          <w:tcPr>
            <w:tcW w:w="1559" w:type="dxa"/>
            <w:tcBorders>
              <w:top w:val="single" w:color="auto" w:sz="4" w:space="0"/>
            </w:tcBorders>
            <w:shd w:val="clear" w:color="auto" w:fill="FFFFFF"/>
            <w:vAlign w:val="center"/>
          </w:tcPr>
          <w:p>
            <w:pPr>
              <w:widowControl/>
              <w:jc w:val="center"/>
              <w:rPr>
                <w:rFonts w:ascii="宋体"/>
              </w:rPr>
            </w:pPr>
            <w:r>
              <w:rPr>
                <w:rFonts w:hint="eastAsia" w:ascii="宋体" w:hAnsi="宋体" w:cs="宋体"/>
                <w:b/>
                <w:bCs/>
              </w:rPr>
              <w:t>服务内容</w:t>
            </w:r>
          </w:p>
        </w:tc>
        <w:tc>
          <w:tcPr>
            <w:tcW w:w="4733" w:type="dxa"/>
            <w:tcBorders>
              <w:top w:val="single" w:color="auto" w:sz="4" w:space="0"/>
            </w:tcBorders>
            <w:shd w:val="clear" w:color="auto" w:fill="FFFFFF"/>
            <w:vAlign w:val="center"/>
          </w:tcPr>
          <w:p>
            <w:pPr>
              <w:widowControl/>
              <w:jc w:val="center"/>
              <w:rPr>
                <w:rFonts w:ascii="宋体"/>
              </w:rPr>
            </w:pPr>
            <w:r>
              <w:rPr>
                <w:rFonts w:hint="eastAsia" w:ascii="宋体" w:hAnsi="宋体" w:cs="宋体"/>
                <w:b/>
                <w:bCs/>
              </w:rPr>
              <w:t>服务描述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Ex>
        <w:trPr>
          <w:cantSplit/>
          <w:trHeight w:val="455" w:hRule="atLeast"/>
          <w:jc w:val="center"/>
        </w:trPr>
        <w:tc>
          <w:tcPr>
            <w:tcW w:w="825" w:type="dxa"/>
            <w:vMerge w:val="restart"/>
            <w:shd w:val="clear" w:color="auto" w:fill="FFFFFF"/>
            <w:vAlign w:val="center"/>
          </w:tcPr>
          <w:p>
            <w:pPr>
              <w:widowControl/>
              <w:jc w:val="center"/>
              <w:rPr>
                <w:rFonts w:ascii="宋体"/>
                <w:b/>
                <w:bCs/>
              </w:rPr>
            </w:pPr>
            <w:r>
              <w:rPr>
                <w:rFonts w:hint="eastAsia" w:ascii="宋体" w:hAnsi="宋体" w:cs="宋体"/>
                <w:b/>
                <w:bCs/>
              </w:rPr>
              <w:t>标准</w:t>
            </w:r>
          </w:p>
          <w:p>
            <w:pPr>
              <w:widowControl/>
              <w:jc w:val="center"/>
              <w:rPr>
                <w:rFonts w:ascii="宋体"/>
              </w:rPr>
            </w:pPr>
            <w:r>
              <w:rPr>
                <w:rFonts w:hint="eastAsia" w:ascii="宋体" w:hAnsi="宋体" w:cs="宋体"/>
                <w:b/>
                <w:bCs/>
              </w:rPr>
              <w:t>运维</w:t>
            </w:r>
          </w:p>
        </w:tc>
        <w:tc>
          <w:tcPr>
            <w:tcW w:w="1391" w:type="dxa"/>
            <w:vMerge w:val="restart"/>
            <w:shd w:val="clear" w:color="auto" w:fill="FFFFFF"/>
            <w:tcMar>
              <w:top w:w="0" w:type="dxa"/>
              <w:left w:w="150" w:type="dxa"/>
              <w:bottom w:w="0" w:type="dxa"/>
              <w:right w:w="0" w:type="dxa"/>
            </w:tcMar>
            <w:vAlign w:val="center"/>
          </w:tcPr>
          <w:p>
            <w:pPr>
              <w:widowControl/>
              <w:rPr>
                <w:rFonts w:ascii="宋体"/>
              </w:rPr>
            </w:pPr>
            <w:r>
              <w:rPr>
                <w:rFonts w:hint="eastAsia" w:ascii="宋体" w:hAnsi="宋体" w:cs="宋体"/>
              </w:rPr>
              <w:t>预防管理服务</w:t>
            </w:r>
          </w:p>
        </w:tc>
        <w:tc>
          <w:tcPr>
            <w:tcW w:w="1559" w:type="dxa"/>
            <w:shd w:val="clear" w:color="auto" w:fill="FFFFFF"/>
            <w:tcMar>
              <w:top w:w="0" w:type="dxa"/>
              <w:left w:w="150" w:type="dxa"/>
              <w:bottom w:w="0" w:type="dxa"/>
              <w:right w:w="0" w:type="dxa"/>
            </w:tcMar>
            <w:vAlign w:val="center"/>
          </w:tcPr>
          <w:p>
            <w:pPr>
              <w:widowControl/>
              <w:rPr>
                <w:rFonts w:ascii="宋体"/>
                <w:color w:val="000000"/>
              </w:rPr>
            </w:pPr>
            <w:r>
              <w:rPr>
                <w:rFonts w:hint="eastAsia" w:ascii="宋体" w:hAnsi="宋体" w:cs="宋体"/>
                <w:color w:val="000000"/>
              </w:rPr>
              <w:t>巡检服务</w:t>
            </w:r>
          </w:p>
        </w:tc>
        <w:tc>
          <w:tcPr>
            <w:tcW w:w="4733" w:type="dxa"/>
            <w:shd w:val="clear" w:color="auto" w:fill="FFFFFF"/>
            <w:tcMar>
              <w:top w:w="0" w:type="dxa"/>
              <w:left w:w="150" w:type="dxa"/>
              <w:bottom w:w="0" w:type="dxa"/>
              <w:right w:w="0" w:type="dxa"/>
            </w:tcMar>
            <w:vAlign w:val="center"/>
          </w:tcPr>
          <w:p>
            <w:pPr>
              <w:rPr>
                <w:rFonts w:ascii="宋体"/>
                <w:color w:val="000000"/>
              </w:rPr>
            </w:pPr>
            <w:r>
              <w:rPr>
                <w:rFonts w:hint="eastAsia" w:ascii="宋体" w:hAnsi="宋体" w:cs="宋体"/>
                <w:color w:val="000000"/>
              </w:rPr>
              <w:t>每个季度组织人员对设备或环境的定期定向巡检。</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Ex>
        <w:trPr>
          <w:cantSplit/>
          <w:trHeight w:val="455" w:hRule="atLeast"/>
          <w:jc w:val="center"/>
        </w:trPr>
        <w:tc>
          <w:tcPr>
            <w:tcW w:w="825" w:type="dxa"/>
            <w:vMerge w:val="continue"/>
            <w:shd w:val="clear" w:color="auto" w:fill="FFFFFF"/>
            <w:vAlign w:val="center"/>
          </w:tcPr>
          <w:p>
            <w:pPr>
              <w:widowControl/>
              <w:jc w:val="center"/>
              <w:rPr>
                <w:rFonts w:ascii="宋体"/>
              </w:rPr>
            </w:pPr>
          </w:p>
        </w:tc>
        <w:tc>
          <w:tcPr>
            <w:tcW w:w="1391" w:type="dxa"/>
            <w:vMerge w:val="continue"/>
            <w:shd w:val="clear" w:color="auto" w:fill="FFFFFF"/>
            <w:vAlign w:val="center"/>
          </w:tcPr>
          <w:p>
            <w:pPr>
              <w:widowControl/>
              <w:rPr>
                <w:rFonts w:ascii="宋体"/>
              </w:rPr>
            </w:pPr>
          </w:p>
        </w:tc>
        <w:tc>
          <w:tcPr>
            <w:tcW w:w="1559" w:type="dxa"/>
            <w:shd w:val="clear" w:color="auto" w:fill="FFFFFF"/>
            <w:tcMar>
              <w:top w:w="0" w:type="dxa"/>
              <w:left w:w="150" w:type="dxa"/>
              <w:bottom w:w="0" w:type="dxa"/>
              <w:right w:w="0" w:type="dxa"/>
            </w:tcMar>
            <w:vAlign w:val="center"/>
          </w:tcPr>
          <w:p>
            <w:pPr>
              <w:widowControl/>
              <w:rPr>
                <w:rFonts w:ascii="宋体"/>
              </w:rPr>
            </w:pPr>
            <w:r>
              <w:rPr>
                <w:rFonts w:hint="eastAsia" w:ascii="宋体" w:hAnsi="宋体" w:cs="宋体"/>
              </w:rPr>
              <w:t>服务改进</w:t>
            </w:r>
          </w:p>
        </w:tc>
        <w:tc>
          <w:tcPr>
            <w:tcW w:w="4733" w:type="dxa"/>
            <w:shd w:val="clear" w:color="auto" w:fill="FFFFFF"/>
            <w:tcMar>
              <w:top w:w="0" w:type="dxa"/>
              <w:left w:w="150" w:type="dxa"/>
              <w:bottom w:w="0" w:type="dxa"/>
              <w:right w:w="0" w:type="dxa"/>
            </w:tcMar>
            <w:vAlign w:val="center"/>
          </w:tcPr>
          <w:p>
            <w:pPr>
              <w:rPr>
                <w:rFonts w:ascii="宋体"/>
              </w:rPr>
            </w:pPr>
            <w:r>
              <w:rPr>
                <w:rFonts w:hint="eastAsia" w:ascii="宋体" w:hAnsi="宋体" w:cs="宋体"/>
              </w:rPr>
              <w:t>结合实际业务需要，基于实施风险、成本控制，提出基于</w:t>
            </w:r>
            <w:r>
              <w:rPr>
                <w:rFonts w:ascii="宋体" w:hAnsi="宋体" w:cs="宋体"/>
              </w:rPr>
              <w:t>IT</w:t>
            </w:r>
            <w:r>
              <w:rPr>
                <w:rFonts w:hint="eastAsia" w:ascii="宋体" w:hAnsi="宋体" w:cs="宋体"/>
              </w:rPr>
              <w:t>信息化运维的软、硬件优化方案；基于可操作性的基础上提出基于</w:t>
            </w:r>
            <w:r>
              <w:rPr>
                <w:rFonts w:ascii="宋体" w:hAnsi="宋体" w:cs="宋体"/>
              </w:rPr>
              <w:t>IT</w:t>
            </w:r>
            <w:r>
              <w:rPr>
                <w:rFonts w:hint="eastAsia" w:ascii="宋体" w:hAnsi="宋体" w:cs="宋体"/>
              </w:rPr>
              <w:t>信息化运维的使用、操作方案。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Ex>
        <w:trPr>
          <w:cantSplit/>
          <w:trHeight w:val="455" w:hRule="atLeast"/>
          <w:jc w:val="center"/>
        </w:trPr>
        <w:tc>
          <w:tcPr>
            <w:tcW w:w="825" w:type="dxa"/>
            <w:vMerge w:val="continue"/>
            <w:shd w:val="clear" w:color="auto" w:fill="FFFFFF"/>
            <w:vAlign w:val="center"/>
          </w:tcPr>
          <w:p>
            <w:pPr>
              <w:widowControl/>
              <w:jc w:val="center"/>
              <w:rPr>
                <w:rFonts w:ascii="宋体"/>
              </w:rPr>
            </w:pPr>
          </w:p>
        </w:tc>
        <w:tc>
          <w:tcPr>
            <w:tcW w:w="1391" w:type="dxa"/>
            <w:vMerge w:val="restart"/>
            <w:shd w:val="clear" w:color="auto" w:fill="FFFFFF"/>
            <w:tcMar>
              <w:top w:w="0" w:type="dxa"/>
              <w:left w:w="150" w:type="dxa"/>
              <w:bottom w:w="0" w:type="dxa"/>
              <w:right w:w="0" w:type="dxa"/>
            </w:tcMar>
            <w:vAlign w:val="center"/>
          </w:tcPr>
          <w:p>
            <w:pPr>
              <w:widowControl/>
              <w:rPr>
                <w:rFonts w:ascii="宋体"/>
              </w:rPr>
            </w:pPr>
            <w:r>
              <w:rPr>
                <w:rFonts w:hint="eastAsia" w:ascii="宋体" w:hAnsi="宋体" w:cs="宋体"/>
              </w:rPr>
              <w:t>基础服务</w:t>
            </w:r>
          </w:p>
        </w:tc>
        <w:tc>
          <w:tcPr>
            <w:tcW w:w="1559" w:type="dxa"/>
            <w:shd w:val="clear" w:color="auto" w:fill="FFFFFF"/>
            <w:tcMar>
              <w:top w:w="0" w:type="dxa"/>
              <w:left w:w="150" w:type="dxa"/>
              <w:bottom w:w="0" w:type="dxa"/>
              <w:right w:w="0" w:type="dxa"/>
            </w:tcMar>
            <w:vAlign w:val="center"/>
          </w:tcPr>
          <w:p>
            <w:pPr>
              <w:widowControl/>
              <w:rPr>
                <w:rFonts w:ascii="宋体"/>
              </w:rPr>
            </w:pPr>
            <w:r>
              <w:rPr>
                <w:rFonts w:hint="eastAsia" w:ascii="宋体" w:hAnsi="宋体" w:cs="宋体"/>
              </w:rPr>
              <w:t>桌面级办公软件维护</w:t>
            </w:r>
          </w:p>
        </w:tc>
        <w:tc>
          <w:tcPr>
            <w:tcW w:w="4733" w:type="dxa"/>
            <w:shd w:val="clear" w:color="auto" w:fill="FFFFFF"/>
            <w:tcMar>
              <w:top w:w="0" w:type="dxa"/>
              <w:left w:w="150" w:type="dxa"/>
              <w:bottom w:w="0" w:type="dxa"/>
              <w:right w:w="0" w:type="dxa"/>
            </w:tcMar>
            <w:vAlign w:val="center"/>
          </w:tcPr>
          <w:p>
            <w:pPr>
              <w:rPr>
                <w:rFonts w:ascii="宋体"/>
              </w:rPr>
            </w:pPr>
            <w:r>
              <w:rPr>
                <w:rFonts w:hint="eastAsia" w:ascii="宋体" w:hAnsi="宋体" w:cs="宋体"/>
              </w:rPr>
              <w:t>包括常用办公软件、主流操作系统的安装调试、优化设置、升级卸载。</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Ex>
        <w:trPr>
          <w:cantSplit/>
          <w:trHeight w:val="455" w:hRule="atLeast"/>
          <w:jc w:val="center"/>
        </w:trPr>
        <w:tc>
          <w:tcPr>
            <w:tcW w:w="825" w:type="dxa"/>
            <w:vMerge w:val="continue"/>
            <w:shd w:val="clear" w:color="auto" w:fill="FFFFFF"/>
            <w:vAlign w:val="center"/>
          </w:tcPr>
          <w:p>
            <w:pPr>
              <w:widowControl/>
              <w:jc w:val="center"/>
              <w:rPr>
                <w:rFonts w:ascii="宋体"/>
              </w:rPr>
            </w:pPr>
          </w:p>
        </w:tc>
        <w:tc>
          <w:tcPr>
            <w:tcW w:w="1391" w:type="dxa"/>
            <w:vMerge w:val="continue"/>
            <w:shd w:val="clear" w:color="auto" w:fill="FFFFFF"/>
            <w:tcMar>
              <w:top w:w="0" w:type="dxa"/>
              <w:left w:w="150" w:type="dxa"/>
              <w:bottom w:w="0" w:type="dxa"/>
              <w:right w:w="0" w:type="dxa"/>
            </w:tcMar>
            <w:vAlign w:val="center"/>
          </w:tcPr>
          <w:p>
            <w:pPr>
              <w:widowControl/>
              <w:rPr>
                <w:rFonts w:ascii="宋体"/>
              </w:rPr>
            </w:pPr>
          </w:p>
        </w:tc>
        <w:tc>
          <w:tcPr>
            <w:tcW w:w="1559" w:type="dxa"/>
            <w:shd w:val="clear" w:color="auto" w:fill="FFFFFF"/>
            <w:tcMar>
              <w:top w:w="0" w:type="dxa"/>
              <w:left w:w="150" w:type="dxa"/>
              <w:bottom w:w="0" w:type="dxa"/>
              <w:right w:w="0" w:type="dxa"/>
            </w:tcMar>
            <w:vAlign w:val="center"/>
          </w:tcPr>
          <w:p>
            <w:pPr>
              <w:widowControl/>
              <w:rPr>
                <w:rFonts w:ascii="宋体"/>
              </w:rPr>
            </w:pPr>
            <w:r>
              <w:rPr>
                <w:rFonts w:hint="eastAsia" w:ascii="宋体" w:hAnsi="宋体" w:cs="宋体"/>
              </w:rPr>
              <w:t>业务软件</w:t>
            </w:r>
          </w:p>
        </w:tc>
        <w:tc>
          <w:tcPr>
            <w:tcW w:w="4733" w:type="dxa"/>
            <w:shd w:val="clear" w:color="auto" w:fill="FFFFFF"/>
            <w:tcMar>
              <w:top w:w="0" w:type="dxa"/>
              <w:left w:w="150" w:type="dxa"/>
              <w:bottom w:w="0" w:type="dxa"/>
              <w:right w:w="0" w:type="dxa"/>
            </w:tcMar>
            <w:vAlign w:val="center"/>
          </w:tcPr>
          <w:p>
            <w:pPr>
              <w:rPr>
                <w:rFonts w:ascii="宋体"/>
              </w:rPr>
            </w:pPr>
            <w:r>
              <w:rPr>
                <w:rFonts w:hint="eastAsia" w:ascii="宋体" w:hAnsi="宋体" w:cs="宋体"/>
              </w:rPr>
              <w:t>保证数字化校园、</w:t>
            </w:r>
            <w:r>
              <w:rPr>
                <w:rFonts w:ascii="宋体" w:hAnsi="宋体" w:cs="宋体"/>
              </w:rPr>
              <w:t>OA</w:t>
            </w:r>
            <w:r>
              <w:rPr>
                <w:rFonts w:hint="eastAsia" w:ascii="宋体" w:hAnsi="宋体" w:cs="宋体"/>
              </w:rPr>
              <w:t>系统、在线教育平台、校园一卡通、图书管理等系统的正常运行及日常维护</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Ex>
        <w:trPr>
          <w:cantSplit/>
          <w:trHeight w:val="455" w:hRule="atLeast"/>
          <w:jc w:val="center"/>
        </w:trPr>
        <w:tc>
          <w:tcPr>
            <w:tcW w:w="825" w:type="dxa"/>
            <w:vMerge w:val="continue"/>
            <w:shd w:val="clear" w:color="auto" w:fill="FFFFFF"/>
            <w:vAlign w:val="center"/>
          </w:tcPr>
          <w:p>
            <w:pPr>
              <w:widowControl/>
              <w:jc w:val="center"/>
              <w:rPr>
                <w:rFonts w:ascii="宋体"/>
              </w:rPr>
            </w:pPr>
          </w:p>
        </w:tc>
        <w:tc>
          <w:tcPr>
            <w:tcW w:w="1391" w:type="dxa"/>
            <w:vMerge w:val="continue"/>
            <w:shd w:val="clear" w:color="auto" w:fill="FFFFFF"/>
            <w:vAlign w:val="center"/>
          </w:tcPr>
          <w:p>
            <w:pPr>
              <w:widowControl/>
              <w:rPr>
                <w:rFonts w:ascii="宋体"/>
              </w:rPr>
            </w:pPr>
          </w:p>
        </w:tc>
        <w:tc>
          <w:tcPr>
            <w:tcW w:w="1559" w:type="dxa"/>
            <w:shd w:val="clear" w:color="auto" w:fill="FFFFFF"/>
            <w:tcMar>
              <w:top w:w="0" w:type="dxa"/>
              <w:left w:w="150" w:type="dxa"/>
              <w:bottom w:w="0" w:type="dxa"/>
              <w:right w:w="0" w:type="dxa"/>
            </w:tcMar>
            <w:vAlign w:val="center"/>
          </w:tcPr>
          <w:p>
            <w:pPr>
              <w:widowControl/>
              <w:rPr>
                <w:rFonts w:ascii="宋体"/>
              </w:rPr>
            </w:pPr>
            <w:r>
              <w:rPr>
                <w:rFonts w:hint="eastAsia" w:ascii="宋体" w:hAnsi="宋体" w:cs="宋体"/>
              </w:rPr>
              <w:t>桌面级硬件维护</w:t>
            </w:r>
          </w:p>
        </w:tc>
        <w:tc>
          <w:tcPr>
            <w:tcW w:w="4733" w:type="dxa"/>
            <w:shd w:val="clear" w:color="auto" w:fill="FFFFFF"/>
            <w:tcMar>
              <w:top w:w="0" w:type="dxa"/>
              <w:left w:w="150" w:type="dxa"/>
              <w:bottom w:w="0" w:type="dxa"/>
              <w:right w:w="0" w:type="dxa"/>
            </w:tcMar>
            <w:vAlign w:val="center"/>
          </w:tcPr>
          <w:p>
            <w:pPr>
              <w:rPr>
                <w:rFonts w:ascii="宋体"/>
              </w:rPr>
            </w:pPr>
            <w:r>
              <w:rPr>
                <w:rFonts w:hint="eastAsia" w:ascii="宋体" w:hAnsi="宋体" w:cs="宋体"/>
              </w:rPr>
              <w:t>台式机、显示器、笔记本、打印机及周边信息化设备等：包括故障检测排查、板卡及配件维修、配件更换升级、清洁保养。</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Ex>
        <w:trPr>
          <w:cantSplit/>
          <w:trHeight w:val="455" w:hRule="atLeast"/>
          <w:jc w:val="center"/>
        </w:trPr>
        <w:tc>
          <w:tcPr>
            <w:tcW w:w="825" w:type="dxa"/>
            <w:vMerge w:val="continue"/>
            <w:shd w:val="clear" w:color="auto" w:fill="FFFFFF"/>
            <w:vAlign w:val="center"/>
          </w:tcPr>
          <w:p>
            <w:pPr>
              <w:widowControl/>
              <w:jc w:val="center"/>
              <w:rPr>
                <w:rFonts w:ascii="宋体"/>
              </w:rPr>
            </w:pPr>
          </w:p>
        </w:tc>
        <w:tc>
          <w:tcPr>
            <w:tcW w:w="1391" w:type="dxa"/>
            <w:vMerge w:val="continue"/>
            <w:shd w:val="clear" w:color="auto" w:fill="FFFFFF"/>
            <w:vAlign w:val="center"/>
          </w:tcPr>
          <w:p>
            <w:pPr>
              <w:widowControl/>
              <w:rPr>
                <w:rFonts w:ascii="宋体"/>
              </w:rPr>
            </w:pPr>
          </w:p>
        </w:tc>
        <w:tc>
          <w:tcPr>
            <w:tcW w:w="1559" w:type="dxa"/>
            <w:shd w:val="clear" w:color="auto" w:fill="FFFFFF"/>
            <w:tcMar>
              <w:top w:w="0" w:type="dxa"/>
              <w:left w:w="150" w:type="dxa"/>
              <w:bottom w:w="0" w:type="dxa"/>
              <w:right w:w="0" w:type="dxa"/>
            </w:tcMar>
            <w:vAlign w:val="center"/>
          </w:tcPr>
          <w:p>
            <w:pPr>
              <w:widowControl/>
              <w:rPr>
                <w:rFonts w:ascii="宋体"/>
              </w:rPr>
            </w:pPr>
            <w:r>
              <w:rPr>
                <w:rFonts w:hint="eastAsia" w:ascii="宋体" w:hAnsi="宋体" w:cs="宋体"/>
              </w:rPr>
              <w:t>桌面业务系统支持</w:t>
            </w:r>
          </w:p>
        </w:tc>
        <w:tc>
          <w:tcPr>
            <w:tcW w:w="4733" w:type="dxa"/>
            <w:shd w:val="clear" w:color="auto" w:fill="FFFFFF"/>
            <w:tcMar>
              <w:top w:w="0" w:type="dxa"/>
              <w:left w:w="150" w:type="dxa"/>
              <w:bottom w:w="0" w:type="dxa"/>
              <w:right w:w="0" w:type="dxa"/>
            </w:tcMar>
            <w:vAlign w:val="center"/>
          </w:tcPr>
          <w:p>
            <w:pPr>
              <w:rPr>
                <w:rFonts w:ascii="宋体"/>
              </w:rPr>
            </w:pPr>
            <w:r>
              <w:rPr>
                <w:rFonts w:hint="eastAsia" w:ascii="宋体" w:hAnsi="宋体" w:cs="宋体"/>
              </w:rPr>
              <w:t>运行环境配置，如</w:t>
            </w:r>
            <w:r>
              <w:rPr>
                <w:rFonts w:ascii="宋体" w:hAnsi="宋体" w:cs="宋体"/>
              </w:rPr>
              <w:t>IE</w:t>
            </w:r>
            <w:r>
              <w:rPr>
                <w:rFonts w:hint="eastAsia" w:ascii="宋体" w:hAnsi="宋体" w:cs="宋体"/>
              </w:rPr>
              <w:t>、</w:t>
            </w:r>
            <w:r>
              <w:rPr>
                <w:rFonts w:ascii="宋体" w:hAnsi="宋体" w:cs="宋体"/>
              </w:rPr>
              <w:t>office</w:t>
            </w:r>
            <w:r>
              <w:rPr>
                <w:rFonts w:hint="eastAsia" w:ascii="宋体" w:hAnsi="宋体" w:cs="宋体"/>
              </w:rPr>
              <w:t>；操作及使用指导；相关配置支持。</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Ex>
        <w:trPr>
          <w:cantSplit/>
          <w:trHeight w:val="455" w:hRule="atLeast"/>
          <w:jc w:val="center"/>
        </w:trPr>
        <w:tc>
          <w:tcPr>
            <w:tcW w:w="825" w:type="dxa"/>
            <w:vMerge w:val="continue"/>
            <w:shd w:val="clear" w:color="auto" w:fill="FFFFFF"/>
            <w:vAlign w:val="center"/>
          </w:tcPr>
          <w:p>
            <w:pPr>
              <w:widowControl/>
              <w:jc w:val="center"/>
              <w:rPr>
                <w:rFonts w:ascii="宋体"/>
              </w:rPr>
            </w:pPr>
          </w:p>
        </w:tc>
        <w:tc>
          <w:tcPr>
            <w:tcW w:w="1391" w:type="dxa"/>
            <w:vMerge w:val="continue"/>
            <w:shd w:val="clear" w:color="auto" w:fill="FFFFFF"/>
            <w:vAlign w:val="center"/>
          </w:tcPr>
          <w:p>
            <w:pPr>
              <w:widowControl/>
              <w:rPr>
                <w:rFonts w:ascii="宋体"/>
              </w:rPr>
            </w:pPr>
          </w:p>
        </w:tc>
        <w:tc>
          <w:tcPr>
            <w:tcW w:w="1559" w:type="dxa"/>
            <w:shd w:val="clear" w:color="auto" w:fill="FFFFFF"/>
            <w:tcMar>
              <w:top w:w="0" w:type="dxa"/>
              <w:left w:w="150" w:type="dxa"/>
              <w:bottom w:w="0" w:type="dxa"/>
              <w:right w:w="0" w:type="dxa"/>
            </w:tcMar>
            <w:vAlign w:val="center"/>
          </w:tcPr>
          <w:p>
            <w:pPr>
              <w:widowControl/>
              <w:rPr>
                <w:rFonts w:ascii="宋体"/>
              </w:rPr>
            </w:pPr>
            <w:r>
              <w:rPr>
                <w:rFonts w:hint="eastAsia" w:ascii="宋体" w:hAnsi="宋体" w:cs="宋体"/>
              </w:rPr>
              <w:t>音响灯光设备维护保障</w:t>
            </w:r>
          </w:p>
        </w:tc>
        <w:tc>
          <w:tcPr>
            <w:tcW w:w="4733" w:type="dxa"/>
            <w:shd w:val="clear" w:color="auto" w:fill="FFFFFF"/>
            <w:tcMar>
              <w:top w:w="0" w:type="dxa"/>
              <w:left w:w="150" w:type="dxa"/>
              <w:bottom w:w="0" w:type="dxa"/>
              <w:right w:w="0" w:type="dxa"/>
            </w:tcMar>
            <w:vAlign w:val="center"/>
          </w:tcPr>
          <w:p>
            <w:pPr>
              <w:rPr>
                <w:rFonts w:ascii="宋体"/>
              </w:rPr>
            </w:pPr>
            <w:r>
              <w:rPr>
                <w:rFonts w:hint="eastAsia" w:ascii="宋体" w:hAnsi="宋体" w:cs="宋体"/>
              </w:rPr>
              <w:t>包括报告厅音响，调音台、舞台灯光，舞台</w:t>
            </w:r>
            <w:r>
              <w:rPr>
                <w:rFonts w:ascii="宋体" w:hAnsi="宋体" w:cs="宋体"/>
              </w:rPr>
              <w:t>LED</w:t>
            </w:r>
            <w:r>
              <w:rPr>
                <w:rFonts w:hint="eastAsia" w:ascii="宋体" w:hAnsi="宋体" w:cs="宋体"/>
              </w:rPr>
              <w:t>大屏等。</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Ex>
        <w:trPr>
          <w:cantSplit/>
          <w:trHeight w:val="455" w:hRule="atLeast"/>
          <w:jc w:val="center"/>
        </w:trPr>
        <w:tc>
          <w:tcPr>
            <w:tcW w:w="825" w:type="dxa"/>
            <w:vMerge w:val="continue"/>
            <w:shd w:val="clear" w:color="auto" w:fill="FFFFFF"/>
            <w:vAlign w:val="center"/>
          </w:tcPr>
          <w:p>
            <w:pPr>
              <w:widowControl/>
              <w:jc w:val="center"/>
              <w:rPr>
                <w:rFonts w:ascii="宋体"/>
              </w:rPr>
            </w:pPr>
          </w:p>
        </w:tc>
        <w:tc>
          <w:tcPr>
            <w:tcW w:w="1391" w:type="dxa"/>
            <w:vMerge w:val="continue"/>
            <w:shd w:val="clear" w:color="auto" w:fill="FFFFFF"/>
            <w:vAlign w:val="center"/>
          </w:tcPr>
          <w:p>
            <w:pPr>
              <w:widowControl/>
              <w:rPr>
                <w:rFonts w:ascii="宋体"/>
              </w:rPr>
            </w:pPr>
          </w:p>
        </w:tc>
        <w:tc>
          <w:tcPr>
            <w:tcW w:w="1559" w:type="dxa"/>
            <w:shd w:val="clear" w:color="auto" w:fill="FFFFFF"/>
            <w:tcMar>
              <w:top w:w="0" w:type="dxa"/>
              <w:left w:w="150" w:type="dxa"/>
              <w:bottom w:w="0" w:type="dxa"/>
              <w:right w:w="0" w:type="dxa"/>
            </w:tcMar>
            <w:vAlign w:val="center"/>
          </w:tcPr>
          <w:p>
            <w:pPr>
              <w:widowControl/>
              <w:rPr>
                <w:rFonts w:ascii="宋体"/>
              </w:rPr>
            </w:pPr>
            <w:r>
              <w:rPr>
                <w:rFonts w:hint="eastAsia" w:ascii="宋体" w:hAnsi="宋体" w:cs="宋体"/>
              </w:rPr>
              <w:t>显示设备维护保障</w:t>
            </w:r>
          </w:p>
        </w:tc>
        <w:tc>
          <w:tcPr>
            <w:tcW w:w="4733" w:type="dxa"/>
            <w:shd w:val="clear" w:color="auto" w:fill="FFFFFF"/>
            <w:tcMar>
              <w:top w:w="0" w:type="dxa"/>
              <w:left w:w="150" w:type="dxa"/>
              <w:bottom w:w="0" w:type="dxa"/>
              <w:right w:w="0" w:type="dxa"/>
            </w:tcMar>
            <w:vAlign w:val="center"/>
          </w:tcPr>
          <w:p>
            <w:pPr>
              <w:rPr>
                <w:rFonts w:ascii="宋体"/>
              </w:rPr>
            </w:pPr>
            <w:r>
              <w:rPr>
                <w:rFonts w:hint="eastAsia" w:ascii="宋体" w:hAnsi="宋体" w:cs="宋体"/>
              </w:rPr>
              <w:t>包括各教室投影仪、电视、显示器的维修维护。</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Ex>
        <w:trPr>
          <w:cantSplit/>
          <w:trHeight w:val="455" w:hRule="atLeast"/>
          <w:jc w:val="center"/>
        </w:trPr>
        <w:tc>
          <w:tcPr>
            <w:tcW w:w="825" w:type="dxa"/>
            <w:vMerge w:val="continue"/>
            <w:shd w:val="clear" w:color="auto" w:fill="FFFFFF"/>
            <w:vAlign w:val="center"/>
          </w:tcPr>
          <w:p>
            <w:pPr>
              <w:widowControl/>
              <w:jc w:val="center"/>
              <w:rPr>
                <w:rFonts w:ascii="宋体"/>
              </w:rPr>
            </w:pPr>
          </w:p>
        </w:tc>
        <w:tc>
          <w:tcPr>
            <w:tcW w:w="1391" w:type="dxa"/>
            <w:vMerge w:val="continue"/>
            <w:shd w:val="clear" w:color="auto" w:fill="FFFFFF"/>
            <w:vAlign w:val="center"/>
          </w:tcPr>
          <w:p>
            <w:pPr>
              <w:widowControl/>
              <w:rPr>
                <w:rFonts w:ascii="宋体"/>
              </w:rPr>
            </w:pPr>
          </w:p>
        </w:tc>
        <w:tc>
          <w:tcPr>
            <w:tcW w:w="1559" w:type="dxa"/>
            <w:shd w:val="clear" w:color="auto" w:fill="FFFFFF"/>
            <w:tcMar>
              <w:top w:w="0" w:type="dxa"/>
              <w:left w:w="150" w:type="dxa"/>
              <w:bottom w:w="0" w:type="dxa"/>
              <w:right w:w="0" w:type="dxa"/>
            </w:tcMar>
            <w:vAlign w:val="center"/>
          </w:tcPr>
          <w:p>
            <w:pPr>
              <w:widowControl/>
              <w:rPr>
                <w:rFonts w:ascii="宋体"/>
              </w:rPr>
            </w:pPr>
            <w:r>
              <w:rPr>
                <w:rFonts w:hint="eastAsia" w:ascii="宋体" w:hAnsi="宋体" w:cs="宋体"/>
              </w:rPr>
              <w:t>电子产品维护保障</w:t>
            </w:r>
          </w:p>
        </w:tc>
        <w:tc>
          <w:tcPr>
            <w:tcW w:w="4733" w:type="dxa"/>
            <w:shd w:val="clear" w:color="auto" w:fill="FFFFFF"/>
            <w:tcMar>
              <w:top w:w="0" w:type="dxa"/>
              <w:left w:w="150" w:type="dxa"/>
              <w:bottom w:w="0" w:type="dxa"/>
              <w:right w:w="0" w:type="dxa"/>
            </w:tcMar>
            <w:vAlign w:val="center"/>
          </w:tcPr>
          <w:p>
            <w:pPr>
              <w:rPr>
                <w:rFonts w:ascii="宋体"/>
              </w:rPr>
            </w:pPr>
            <w:r>
              <w:rPr>
                <w:rFonts w:hint="eastAsia" w:ascii="宋体" w:hAnsi="宋体" w:cs="宋体"/>
              </w:rPr>
              <w:t>为各类数字化设备提供操作服务，如手机、数码相机、视频播放器、录音笔等。</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Ex>
        <w:trPr>
          <w:cantSplit/>
          <w:trHeight w:val="455" w:hRule="atLeast"/>
          <w:jc w:val="center"/>
        </w:trPr>
        <w:tc>
          <w:tcPr>
            <w:tcW w:w="825" w:type="dxa"/>
            <w:vMerge w:val="continue"/>
            <w:shd w:val="clear" w:color="auto" w:fill="FFFFFF"/>
            <w:vAlign w:val="center"/>
          </w:tcPr>
          <w:p>
            <w:pPr>
              <w:widowControl/>
              <w:jc w:val="center"/>
              <w:rPr>
                <w:rFonts w:ascii="宋体"/>
              </w:rPr>
            </w:pPr>
          </w:p>
        </w:tc>
        <w:tc>
          <w:tcPr>
            <w:tcW w:w="1391" w:type="dxa"/>
            <w:vMerge w:val="restart"/>
            <w:shd w:val="clear" w:color="auto" w:fill="FFFFFF"/>
            <w:tcMar>
              <w:top w:w="0" w:type="dxa"/>
              <w:left w:w="150" w:type="dxa"/>
              <w:bottom w:w="0" w:type="dxa"/>
              <w:right w:w="0" w:type="dxa"/>
            </w:tcMar>
            <w:vAlign w:val="center"/>
          </w:tcPr>
          <w:p>
            <w:pPr>
              <w:widowControl/>
              <w:rPr>
                <w:rFonts w:ascii="宋体"/>
              </w:rPr>
            </w:pPr>
            <w:r>
              <w:rPr>
                <w:rFonts w:hint="eastAsia" w:ascii="宋体" w:hAnsi="宋体" w:cs="宋体"/>
              </w:rPr>
              <w:t>终端</w:t>
            </w:r>
          </w:p>
        </w:tc>
        <w:tc>
          <w:tcPr>
            <w:tcW w:w="1559" w:type="dxa"/>
            <w:shd w:val="clear" w:color="auto" w:fill="FFFFFF"/>
            <w:tcMar>
              <w:top w:w="0" w:type="dxa"/>
              <w:left w:w="150" w:type="dxa"/>
              <w:bottom w:w="0" w:type="dxa"/>
              <w:right w:w="0" w:type="dxa"/>
            </w:tcMar>
            <w:vAlign w:val="center"/>
          </w:tcPr>
          <w:p>
            <w:pPr>
              <w:widowControl/>
              <w:rPr>
                <w:rFonts w:ascii="宋体"/>
              </w:rPr>
            </w:pPr>
            <w:r>
              <w:rPr>
                <w:rFonts w:hint="eastAsia" w:ascii="宋体" w:hAnsi="宋体" w:cs="宋体"/>
              </w:rPr>
              <w:t>基础维护保障</w:t>
            </w:r>
          </w:p>
        </w:tc>
        <w:tc>
          <w:tcPr>
            <w:tcW w:w="4733" w:type="dxa"/>
            <w:shd w:val="clear" w:color="auto" w:fill="FFFFFF"/>
            <w:tcMar>
              <w:top w:w="0" w:type="dxa"/>
              <w:left w:w="150" w:type="dxa"/>
              <w:bottom w:w="0" w:type="dxa"/>
              <w:right w:w="0" w:type="dxa"/>
            </w:tcMar>
            <w:vAlign w:val="center"/>
          </w:tcPr>
          <w:p>
            <w:pPr>
              <w:rPr>
                <w:rFonts w:ascii="宋体"/>
              </w:rPr>
            </w:pPr>
            <w:r>
              <w:rPr>
                <w:rFonts w:hint="eastAsia" w:ascii="宋体" w:hAnsi="宋体" w:cs="宋体"/>
              </w:rPr>
              <w:t>设备安装、硬件保养及配置优化、硬件故障检测维修。</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Ex>
        <w:trPr>
          <w:cantSplit/>
          <w:trHeight w:val="455" w:hRule="atLeast"/>
          <w:jc w:val="center"/>
        </w:trPr>
        <w:tc>
          <w:tcPr>
            <w:tcW w:w="825" w:type="dxa"/>
            <w:vMerge w:val="continue"/>
            <w:shd w:val="clear" w:color="auto" w:fill="FFFFFF"/>
            <w:vAlign w:val="center"/>
          </w:tcPr>
          <w:p>
            <w:pPr>
              <w:widowControl/>
              <w:jc w:val="center"/>
              <w:rPr>
                <w:rFonts w:ascii="宋体"/>
              </w:rPr>
            </w:pPr>
          </w:p>
        </w:tc>
        <w:tc>
          <w:tcPr>
            <w:tcW w:w="1391" w:type="dxa"/>
            <w:vMerge w:val="continue"/>
            <w:shd w:val="clear" w:color="auto" w:fill="FFFFFF"/>
            <w:vAlign w:val="center"/>
          </w:tcPr>
          <w:p>
            <w:pPr>
              <w:widowControl/>
              <w:rPr>
                <w:rFonts w:ascii="宋体"/>
              </w:rPr>
            </w:pPr>
          </w:p>
        </w:tc>
        <w:tc>
          <w:tcPr>
            <w:tcW w:w="1559" w:type="dxa"/>
            <w:shd w:val="clear" w:color="auto" w:fill="FFFFFF"/>
            <w:tcMar>
              <w:top w:w="0" w:type="dxa"/>
              <w:left w:w="150" w:type="dxa"/>
              <w:bottom w:w="0" w:type="dxa"/>
              <w:right w:w="0" w:type="dxa"/>
            </w:tcMar>
            <w:vAlign w:val="center"/>
          </w:tcPr>
          <w:p>
            <w:pPr>
              <w:widowControl/>
              <w:rPr>
                <w:rFonts w:ascii="宋体"/>
              </w:rPr>
            </w:pPr>
            <w:r>
              <w:rPr>
                <w:rFonts w:hint="eastAsia" w:ascii="宋体" w:hAnsi="宋体" w:cs="宋体"/>
              </w:rPr>
              <w:t>保障维护</w:t>
            </w:r>
          </w:p>
        </w:tc>
        <w:tc>
          <w:tcPr>
            <w:tcW w:w="4733" w:type="dxa"/>
            <w:shd w:val="clear" w:color="auto" w:fill="FFFFFF"/>
            <w:tcMar>
              <w:top w:w="0" w:type="dxa"/>
              <w:left w:w="150" w:type="dxa"/>
              <w:bottom w:w="0" w:type="dxa"/>
              <w:right w:w="0" w:type="dxa"/>
            </w:tcMar>
            <w:vAlign w:val="center"/>
          </w:tcPr>
          <w:p>
            <w:pPr>
              <w:rPr>
                <w:rFonts w:ascii="宋体"/>
              </w:rPr>
            </w:pPr>
            <w:r>
              <w:rPr>
                <w:rFonts w:ascii="宋体"/>
              </w:rPr>
              <w:t> </w:t>
            </w:r>
            <w:r>
              <w:rPr>
                <w:rFonts w:hint="eastAsia" w:ascii="宋体" w:hAnsi="宋体" w:cs="宋体"/>
              </w:rPr>
              <w:t>备机服务，以避免因为产品维修而造成额外的无法使用产品的损失；</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Ex>
        <w:trPr>
          <w:cantSplit/>
          <w:trHeight w:val="455" w:hRule="atLeast"/>
          <w:jc w:val="center"/>
        </w:trPr>
        <w:tc>
          <w:tcPr>
            <w:tcW w:w="825" w:type="dxa"/>
            <w:vMerge w:val="continue"/>
            <w:tcBorders>
              <w:bottom w:val="single" w:color="auto" w:sz="4" w:space="0"/>
            </w:tcBorders>
            <w:shd w:val="clear" w:color="auto" w:fill="FFFFFF"/>
            <w:vAlign w:val="center"/>
          </w:tcPr>
          <w:p>
            <w:pPr>
              <w:widowControl/>
              <w:jc w:val="center"/>
              <w:rPr>
                <w:rFonts w:ascii="宋体"/>
              </w:rPr>
            </w:pPr>
          </w:p>
        </w:tc>
        <w:tc>
          <w:tcPr>
            <w:tcW w:w="1391" w:type="dxa"/>
            <w:tcBorders>
              <w:bottom w:val="single" w:color="auto" w:sz="4" w:space="0"/>
            </w:tcBorders>
            <w:shd w:val="clear" w:color="auto" w:fill="FFFFFF"/>
            <w:tcMar>
              <w:top w:w="0" w:type="dxa"/>
              <w:left w:w="150" w:type="dxa"/>
              <w:bottom w:w="0" w:type="dxa"/>
              <w:right w:w="0" w:type="dxa"/>
            </w:tcMar>
            <w:vAlign w:val="center"/>
          </w:tcPr>
          <w:p>
            <w:pPr>
              <w:widowControl/>
              <w:rPr>
                <w:rFonts w:ascii="宋体"/>
              </w:rPr>
            </w:pPr>
            <w:r>
              <w:rPr>
                <w:rFonts w:hint="eastAsia" w:ascii="宋体" w:hAnsi="宋体" w:cs="宋体"/>
              </w:rPr>
              <w:t>网络维护</w:t>
            </w:r>
          </w:p>
        </w:tc>
        <w:tc>
          <w:tcPr>
            <w:tcW w:w="1559" w:type="dxa"/>
            <w:tcBorders>
              <w:bottom w:val="single" w:color="auto" w:sz="4" w:space="0"/>
            </w:tcBorders>
            <w:shd w:val="clear" w:color="auto" w:fill="FFFFFF"/>
            <w:tcMar>
              <w:top w:w="0" w:type="dxa"/>
              <w:left w:w="150" w:type="dxa"/>
              <w:bottom w:w="0" w:type="dxa"/>
              <w:right w:w="0" w:type="dxa"/>
            </w:tcMar>
            <w:vAlign w:val="center"/>
          </w:tcPr>
          <w:p>
            <w:pPr>
              <w:widowControl/>
              <w:rPr>
                <w:rFonts w:ascii="宋体"/>
              </w:rPr>
            </w:pPr>
            <w:r>
              <w:rPr>
                <w:rFonts w:hint="eastAsia" w:ascii="宋体" w:hAnsi="宋体" w:cs="宋体"/>
              </w:rPr>
              <w:t>基础网络访问</w:t>
            </w:r>
          </w:p>
        </w:tc>
        <w:tc>
          <w:tcPr>
            <w:tcW w:w="4733" w:type="dxa"/>
            <w:tcBorders>
              <w:bottom w:val="single" w:color="auto" w:sz="4" w:space="0"/>
            </w:tcBorders>
            <w:shd w:val="clear" w:color="auto" w:fill="FFFFFF"/>
            <w:tcMar>
              <w:top w:w="0" w:type="dxa"/>
              <w:left w:w="150" w:type="dxa"/>
              <w:bottom w:w="0" w:type="dxa"/>
              <w:right w:w="0" w:type="dxa"/>
            </w:tcMar>
            <w:vAlign w:val="center"/>
          </w:tcPr>
          <w:p>
            <w:pPr>
              <w:rPr>
                <w:rFonts w:ascii="宋体"/>
              </w:rPr>
            </w:pPr>
            <w:r>
              <w:rPr>
                <w:rFonts w:hint="eastAsia" w:ascii="宋体" w:hAnsi="宋体" w:cs="宋体"/>
              </w:rPr>
              <w:t>终端网络连接；基础局域网环境搭建。</w:t>
            </w:r>
          </w:p>
        </w:tc>
      </w:tr>
      <w:bookmarkEnd w:id="210"/>
      <w:bookmarkEnd w:id="211"/>
    </w:tbl>
    <w:p>
      <w:pPr>
        <w:spacing w:line="360" w:lineRule="auto"/>
        <w:ind w:firstLine="480" w:firstLineChars="200"/>
        <w:rPr>
          <w:rFonts w:ascii="宋体"/>
        </w:rPr>
      </w:pPr>
    </w:p>
    <w:p>
      <w:pPr>
        <w:pStyle w:val="2"/>
        <w:numPr>
          <w:ilvl w:val="0"/>
          <w:numId w:val="0"/>
        </w:numPr>
        <w:snapToGrid w:val="0"/>
        <w:spacing w:line="360" w:lineRule="auto"/>
        <w:rPr>
          <w:rFonts w:ascii="宋体"/>
          <w:sz w:val="24"/>
          <w:szCs w:val="24"/>
        </w:rPr>
      </w:pPr>
      <w:bookmarkStart w:id="213" w:name="_Toc285470559"/>
      <w:bookmarkEnd w:id="213"/>
      <w:bookmarkStart w:id="214" w:name="_Toc285482877"/>
      <w:bookmarkEnd w:id="214"/>
      <w:bookmarkStart w:id="215" w:name="_Toc285470561"/>
      <w:bookmarkEnd w:id="215"/>
      <w:bookmarkStart w:id="216" w:name="_Toc285470382"/>
      <w:bookmarkEnd w:id="216"/>
      <w:bookmarkStart w:id="217" w:name="_Toc285482875"/>
      <w:bookmarkEnd w:id="217"/>
      <w:bookmarkStart w:id="218" w:name="_Toc285470384"/>
      <w:bookmarkEnd w:id="218"/>
      <w:bookmarkStart w:id="219" w:name="_Toc1429175"/>
      <w:bookmarkStart w:id="220" w:name="_Toc332370198"/>
      <w:bookmarkStart w:id="221" w:name="_Toc332870445"/>
      <w:bookmarkStart w:id="222" w:name="_Toc17755"/>
      <w:r>
        <w:rPr>
          <w:rFonts w:ascii="宋体" w:hAnsi="宋体" w:cs="宋体"/>
          <w:sz w:val="24"/>
          <w:szCs w:val="24"/>
        </w:rPr>
        <w:t>4</w:t>
      </w:r>
      <w:r>
        <w:rPr>
          <w:rFonts w:hint="eastAsia" w:ascii="宋体" w:hAnsi="宋体" w:cs="宋体"/>
          <w:sz w:val="24"/>
          <w:szCs w:val="24"/>
        </w:rPr>
        <w:t>、运维管理要求</w:t>
      </w:r>
      <w:bookmarkEnd w:id="219"/>
      <w:bookmarkEnd w:id="220"/>
      <w:bookmarkEnd w:id="221"/>
      <w:bookmarkEnd w:id="222"/>
    </w:p>
    <w:p>
      <w:pPr>
        <w:snapToGrid w:val="0"/>
        <w:spacing w:before="163" w:line="360" w:lineRule="auto"/>
        <w:ind w:firstLine="480" w:firstLineChars="200"/>
        <w:rPr>
          <w:rFonts w:ascii="宋体"/>
        </w:rPr>
      </w:pPr>
      <w:r>
        <w:rPr>
          <w:rFonts w:hint="eastAsia" w:ascii="宋体" w:hAnsi="宋体" w:cs="宋体"/>
        </w:rPr>
        <w:t>投标人应按照采购人要求，建立健全甘肃警察职业学院运维管理体系，按照</w:t>
      </w:r>
      <w:r>
        <w:rPr>
          <w:rFonts w:ascii="宋体" w:hAnsi="宋体" w:cs="宋体"/>
        </w:rPr>
        <w:t>IT</w:t>
      </w:r>
      <w:r>
        <w:rPr>
          <w:rFonts w:hint="eastAsia" w:ascii="宋体" w:hAnsi="宋体" w:cs="宋体"/>
        </w:rPr>
        <w:t>服务管理理论、方法和标准，结合采购人实际和建设需要，遵循立足需求、统一规划、保障重点、分步实施、务求实效的原则，建立运维管理体系，调整组织结构，制定规章制度，规范管理流程，明确职责分工，强化技术支撑，实现对网络及信息系统的综合管理监控和日常技术支持，快速响应和及时解决校园信息化系统运行过程中出现的各种问题和故障，确保甘肃警察职业学院校园信息化设备的正常、稳定、高效运行。</w:t>
      </w:r>
    </w:p>
    <w:p>
      <w:pPr>
        <w:pStyle w:val="3"/>
        <w:numPr>
          <w:ilvl w:val="0"/>
          <w:numId w:val="0"/>
        </w:numPr>
        <w:spacing w:line="360" w:lineRule="auto"/>
        <w:rPr>
          <w:rFonts w:ascii="宋体" w:hAnsi="宋体" w:eastAsia="宋体" w:cs="Times New Roman"/>
          <w:sz w:val="24"/>
          <w:szCs w:val="24"/>
        </w:rPr>
      </w:pPr>
      <w:bookmarkStart w:id="223" w:name="_Toc1429176"/>
      <w:bookmarkStart w:id="224" w:name="_Toc28268"/>
      <w:bookmarkStart w:id="225" w:name="_Toc332370199"/>
      <w:bookmarkStart w:id="226" w:name="_Toc332870446"/>
      <w:r>
        <w:rPr>
          <w:rFonts w:ascii="宋体" w:hAnsi="宋体" w:eastAsia="宋体" w:cs="宋体"/>
          <w:sz w:val="24"/>
          <w:szCs w:val="24"/>
        </w:rPr>
        <w:t>4.1</w:t>
      </w:r>
      <w:r>
        <w:rPr>
          <w:rFonts w:hint="eastAsia" w:ascii="宋体" w:hAnsi="宋体" w:eastAsia="宋体" w:cs="宋体"/>
          <w:sz w:val="24"/>
          <w:szCs w:val="24"/>
        </w:rPr>
        <w:t>投标人运维管理</w:t>
      </w:r>
      <w:bookmarkEnd w:id="223"/>
      <w:bookmarkEnd w:id="224"/>
      <w:bookmarkEnd w:id="225"/>
      <w:bookmarkEnd w:id="226"/>
    </w:p>
    <w:p>
      <w:pPr>
        <w:snapToGrid w:val="0"/>
        <w:spacing w:before="163" w:line="360" w:lineRule="auto"/>
        <w:ind w:firstLine="480" w:firstLineChars="200"/>
        <w:rPr>
          <w:rFonts w:ascii="宋体"/>
        </w:rPr>
      </w:pPr>
      <w:r>
        <w:rPr>
          <w:rFonts w:hint="eastAsia" w:ascii="宋体" w:hAnsi="宋体" w:cs="宋体"/>
        </w:rPr>
        <w:t>由投标人组建的运维管理团队在采购人的领导下，提出为采购人服务的五年规划、年度工作计划和分包服务策略；负责年度运维服务外包工作的总体安排；负责按照《甘肃警察职业学院服务外包管理制度》的要求，组织管理各分包商实施运维任务；就整体信息化运维工作对采购人直接负责。投标人应根据采购人实际业务情况，设计规划适合采购人业务发展的运维管理体系。</w:t>
      </w:r>
    </w:p>
    <w:p>
      <w:pPr>
        <w:pStyle w:val="4"/>
        <w:spacing w:line="360" w:lineRule="auto"/>
        <w:rPr>
          <w:rFonts w:ascii="宋体" w:cs="Times New Roman"/>
          <w:sz w:val="24"/>
          <w:szCs w:val="24"/>
        </w:rPr>
      </w:pPr>
      <w:bookmarkStart w:id="227" w:name="_Toc332370201"/>
      <w:bookmarkStart w:id="228" w:name="_Toc332870448"/>
      <w:bookmarkStart w:id="229" w:name="_Toc9406"/>
      <w:bookmarkStart w:id="230" w:name="_Toc1429177"/>
      <w:r>
        <w:rPr>
          <w:rFonts w:ascii="宋体" w:hAnsi="宋体" w:cs="宋体"/>
          <w:sz w:val="24"/>
          <w:szCs w:val="24"/>
        </w:rPr>
        <w:t>4.1.1</w:t>
      </w:r>
      <w:r>
        <w:rPr>
          <w:rFonts w:hint="eastAsia" w:ascii="宋体" w:hAnsi="宋体" w:cs="宋体"/>
          <w:sz w:val="24"/>
          <w:szCs w:val="24"/>
        </w:rPr>
        <w:t>运维管理制度规范</w:t>
      </w:r>
      <w:bookmarkEnd w:id="227"/>
      <w:bookmarkEnd w:id="228"/>
      <w:bookmarkEnd w:id="229"/>
      <w:bookmarkEnd w:id="230"/>
    </w:p>
    <w:p>
      <w:pPr>
        <w:snapToGrid w:val="0"/>
        <w:spacing w:line="360" w:lineRule="auto"/>
        <w:ind w:firstLine="480" w:firstLineChars="200"/>
        <w:rPr>
          <w:rFonts w:ascii="宋体"/>
        </w:rPr>
      </w:pPr>
      <w:r>
        <w:rPr>
          <w:rFonts w:hint="eastAsia" w:ascii="宋体" w:hAnsi="宋体" w:cs="宋体"/>
        </w:rPr>
        <w:t>投标人应建立有效的运维外包制度，完善有关综合管理、基础运维保障管理、内容运维管理、规划研究管理、技术管理、分包管理、绩效管理等服务保障体系规范建设，建立完善对分包商的管理机制，健全相关实施标准。</w:t>
      </w:r>
    </w:p>
    <w:p>
      <w:pPr>
        <w:pStyle w:val="4"/>
        <w:spacing w:line="360" w:lineRule="auto"/>
        <w:rPr>
          <w:rFonts w:ascii="宋体" w:cs="Times New Roman"/>
          <w:sz w:val="24"/>
          <w:szCs w:val="24"/>
        </w:rPr>
      </w:pPr>
      <w:bookmarkStart w:id="231" w:name="_Toc332370202"/>
      <w:bookmarkStart w:id="232" w:name="_Toc332870449"/>
      <w:bookmarkStart w:id="233" w:name="_Toc26029"/>
      <w:bookmarkStart w:id="234" w:name="_Toc1429178"/>
      <w:r>
        <w:rPr>
          <w:rFonts w:ascii="宋体" w:hAnsi="宋体" w:cs="宋体"/>
          <w:sz w:val="24"/>
          <w:szCs w:val="24"/>
        </w:rPr>
        <w:t>4.1.2</w:t>
      </w:r>
      <w:r>
        <w:rPr>
          <w:rFonts w:hint="eastAsia" w:ascii="宋体" w:hAnsi="宋体" w:cs="宋体"/>
          <w:sz w:val="24"/>
          <w:szCs w:val="24"/>
        </w:rPr>
        <w:t>运维管理技术平台建设</w:t>
      </w:r>
      <w:bookmarkEnd w:id="231"/>
      <w:bookmarkEnd w:id="232"/>
      <w:bookmarkEnd w:id="233"/>
      <w:bookmarkEnd w:id="234"/>
    </w:p>
    <w:p>
      <w:pPr>
        <w:snapToGrid w:val="0"/>
        <w:spacing w:before="163" w:line="360" w:lineRule="auto"/>
        <w:ind w:firstLine="480" w:firstLineChars="200"/>
        <w:rPr>
          <w:rFonts w:ascii="宋体"/>
        </w:rPr>
      </w:pPr>
      <w:r>
        <w:rPr>
          <w:rFonts w:hint="eastAsia" w:ascii="宋体" w:hAnsi="宋体" w:cs="宋体"/>
        </w:rPr>
        <w:t>投标人应建立运维管理平台，平台的设计、部署须满足采购人对</w:t>
      </w:r>
      <w:r>
        <w:rPr>
          <w:rFonts w:ascii="宋体" w:hAnsi="宋体" w:cs="宋体"/>
        </w:rPr>
        <w:t>IT</w:t>
      </w:r>
      <w:r>
        <w:rPr>
          <w:rFonts w:hint="eastAsia" w:ascii="宋体" w:hAnsi="宋体" w:cs="宋体"/>
        </w:rPr>
        <w:t>基础设施、应用系统、资产与配置库等运行变动的集中动态监控；满足采购人对新增改造项目的动态监控；满足采购人</w:t>
      </w:r>
      <w:r>
        <w:rPr>
          <w:rFonts w:ascii="宋体" w:hAnsi="宋体" w:cs="宋体"/>
        </w:rPr>
        <w:t>OA</w:t>
      </w:r>
      <w:r>
        <w:rPr>
          <w:rFonts w:hint="eastAsia" w:ascii="宋体" w:hAnsi="宋体" w:cs="宋体"/>
        </w:rPr>
        <w:t>协同办公系统；满足业务管理提供服务的业务服务管理子系统与运维管理技术平台的兼容。</w:t>
      </w:r>
    </w:p>
    <w:p>
      <w:pPr>
        <w:pStyle w:val="3"/>
        <w:numPr>
          <w:ilvl w:val="0"/>
          <w:numId w:val="0"/>
        </w:numPr>
        <w:snapToGrid w:val="0"/>
        <w:spacing w:line="360" w:lineRule="auto"/>
        <w:rPr>
          <w:rFonts w:ascii="宋体" w:hAnsi="宋体" w:eastAsia="宋体" w:cs="Times New Roman"/>
          <w:sz w:val="24"/>
          <w:szCs w:val="24"/>
        </w:rPr>
      </w:pPr>
      <w:bookmarkStart w:id="235" w:name="_Toc332370203"/>
      <w:bookmarkStart w:id="236" w:name="_Toc332870450"/>
      <w:bookmarkStart w:id="237" w:name="_Toc19932"/>
      <w:bookmarkStart w:id="238" w:name="_Toc1429179"/>
      <w:r>
        <w:rPr>
          <w:rFonts w:ascii="宋体" w:hAnsi="宋体" w:eastAsia="宋体" w:cs="宋体"/>
          <w:sz w:val="24"/>
          <w:szCs w:val="24"/>
        </w:rPr>
        <w:t>4.2</w:t>
      </w:r>
      <w:r>
        <w:rPr>
          <w:rFonts w:hint="eastAsia" w:ascii="宋体" w:hAnsi="宋体" w:eastAsia="宋体" w:cs="宋体"/>
          <w:sz w:val="24"/>
          <w:szCs w:val="24"/>
        </w:rPr>
        <w:t>投标人运维团队建设及管理要求</w:t>
      </w:r>
      <w:bookmarkEnd w:id="235"/>
      <w:bookmarkEnd w:id="236"/>
      <w:bookmarkEnd w:id="237"/>
      <w:bookmarkEnd w:id="238"/>
    </w:p>
    <w:p>
      <w:pPr>
        <w:snapToGrid w:val="0"/>
        <w:spacing w:before="163" w:line="360" w:lineRule="auto"/>
        <w:ind w:firstLine="480" w:firstLineChars="200"/>
        <w:rPr>
          <w:rFonts w:ascii="宋体"/>
        </w:rPr>
      </w:pPr>
      <w:r>
        <w:rPr>
          <w:rFonts w:hint="eastAsia" w:ascii="宋体" w:hAnsi="宋体" w:cs="宋体"/>
        </w:rPr>
        <w:t>为了保证甘肃警察职业学院运维工作实现</w:t>
      </w:r>
      <w:r>
        <w:rPr>
          <w:rFonts w:hint="eastAsia" w:ascii="宋体" w:cs="宋体"/>
        </w:rPr>
        <w:t>“</w:t>
      </w:r>
      <w:r>
        <w:rPr>
          <w:rFonts w:hint="eastAsia" w:ascii="宋体" w:hAnsi="宋体" w:cs="宋体"/>
        </w:rPr>
        <w:t>安全、稳定、高效</w:t>
      </w:r>
      <w:r>
        <w:rPr>
          <w:rFonts w:hint="eastAsia" w:ascii="宋体" w:cs="宋体"/>
        </w:rPr>
        <w:t>”</w:t>
      </w:r>
      <w:r>
        <w:rPr>
          <w:rFonts w:hint="eastAsia" w:ascii="宋体" w:hAnsi="宋体" w:cs="宋体"/>
        </w:rPr>
        <w:t>的目标，投标人应按照管理体系的要求组建运维管理和服务团队</w:t>
      </w:r>
      <w:r>
        <w:rPr>
          <w:rFonts w:ascii="宋体" w:cs="宋体"/>
        </w:rPr>
        <w:t>,</w:t>
      </w:r>
      <w:r>
        <w:rPr>
          <w:rFonts w:hint="eastAsia" w:ascii="宋体" w:hAnsi="宋体" w:cs="宋体"/>
        </w:rPr>
        <w:t>并确保团队讲政治、重服务的可持续胜任能力。</w:t>
      </w:r>
    </w:p>
    <w:p>
      <w:pPr>
        <w:spacing w:line="360" w:lineRule="auto"/>
        <w:ind w:firstLine="480" w:firstLineChars="200"/>
        <w:rPr>
          <w:rFonts w:ascii="宋体"/>
        </w:rPr>
      </w:pPr>
      <w:r>
        <w:rPr>
          <w:rFonts w:hint="eastAsia" w:ascii="宋体" w:hAnsi="宋体" w:cs="宋体"/>
        </w:rPr>
        <w:t>结合甘肃警察职业学院工作特点，梳理流程、设置岗位，并按照采购人提出的人才需求情况，制定岗位职责和考核标准，配备人力资源，加强对外包人员的甄选、培训，选择道德水准高、职业素质好、业务能力强的人员承担采购人运维外包项目工作。同时，投标人通过对综合管理岗位的设置，不断提升对外包人员招聘、培训、考核、奖惩、晋升、离职等管理水平，以及对分包商的管理控制成效。</w:t>
      </w:r>
    </w:p>
    <w:p>
      <w:pPr>
        <w:pStyle w:val="4"/>
        <w:snapToGrid w:val="0"/>
        <w:spacing w:line="360" w:lineRule="auto"/>
        <w:rPr>
          <w:rFonts w:ascii="宋体" w:cs="Times New Roman"/>
          <w:sz w:val="24"/>
          <w:szCs w:val="24"/>
        </w:rPr>
      </w:pPr>
      <w:bookmarkStart w:id="239" w:name="_Toc332370204"/>
      <w:bookmarkStart w:id="240" w:name="_Toc332870451"/>
      <w:bookmarkStart w:id="241" w:name="_Toc20549"/>
      <w:bookmarkStart w:id="242" w:name="_Toc1429180"/>
      <w:r>
        <w:rPr>
          <w:rFonts w:ascii="宋体" w:hAnsi="宋体" w:cs="宋体"/>
          <w:sz w:val="24"/>
          <w:szCs w:val="24"/>
        </w:rPr>
        <w:t>4.2.1</w:t>
      </w:r>
      <w:r>
        <w:rPr>
          <w:rFonts w:hint="eastAsia" w:ascii="宋体" w:hAnsi="宋体" w:cs="宋体"/>
          <w:sz w:val="24"/>
          <w:szCs w:val="24"/>
        </w:rPr>
        <w:t>投标人运维团队人员要求</w:t>
      </w:r>
      <w:bookmarkEnd w:id="239"/>
      <w:bookmarkEnd w:id="240"/>
      <w:bookmarkEnd w:id="241"/>
      <w:bookmarkEnd w:id="242"/>
    </w:p>
    <w:p>
      <w:pPr>
        <w:snapToGrid w:val="0"/>
        <w:spacing w:before="163" w:line="360" w:lineRule="auto"/>
        <w:ind w:firstLine="480" w:firstLineChars="200"/>
        <w:rPr>
          <w:rFonts w:ascii="宋体"/>
        </w:rPr>
      </w:pPr>
      <w:r>
        <w:rPr>
          <w:rFonts w:hint="eastAsia" w:ascii="宋体" w:hAnsi="宋体" w:cs="宋体"/>
        </w:rPr>
        <w:t>投标人应结合甘肃警察职业学院工作特点，梳理流程、设立岗位，制定岗位职责和考核标准，配备人力资源，加强对外包人员的甄选、培训，选择道德水准高、职业素质好、业务能力强的人员承担采购人运维外包项目工作。</w:t>
      </w:r>
    </w:p>
    <w:p>
      <w:pPr>
        <w:pStyle w:val="5"/>
        <w:spacing w:line="360" w:lineRule="auto"/>
        <w:jc w:val="left"/>
        <w:rPr>
          <w:rFonts w:ascii="宋体" w:cs="Times New Roman"/>
          <w:sz w:val="24"/>
          <w:szCs w:val="24"/>
        </w:rPr>
      </w:pPr>
      <w:r>
        <w:rPr>
          <w:rFonts w:ascii="宋体" w:hAnsi="宋体" w:cs="宋体"/>
          <w:sz w:val="24"/>
          <w:szCs w:val="24"/>
        </w:rPr>
        <w:t>4.2.1.1</w:t>
      </w:r>
      <w:r>
        <w:rPr>
          <w:rFonts w:hint="eastAsia" w:ascii="宋体" w:hAnsi="宋体" w:cs="宋体"/>
          <w:sz w:val="24"/>
          <w:szCs w:val="24"/>
        </w:rPr>
        <w:t>运维项目经理</w:t>
      </w:r>
    </w:p>
    <w:p>
      <w:pPr>
        <w:snapToGrid w:val="0"/>
        <w:spacing w:before="163" w:line="360" w:lineRule="auto"/>
        <w:ind w:firstLine="480" w:firstLineChars="200"/>
        <w:rPr>
          <w:rFonts w:ascii="宋体"/>
        </w:rPr>
      </w:pPr>
      <w:r>
        <w:rPr>
          <w:rFonts w:hint="eastAsia" w:ascii="宋体" w:hAnsi="宋体" w:cs="宋体"/>
        </w:rPr>
        <w:t>投标人应指定一名运维项目经理，担任运维外包商运维管理组长，</w:t>
      </w:r>
      <w:r>
        <w:rPr>
          <w:rFonts w:ascii="宋体" w:hAnsi="宋体" w:cs="宋体"/>
        </w:rPr>
        <w:t>8</w:t>
      </w:r>
      <w:r>
        <w:rPr>
          <w:rFonts w:hint="eastAsia" w:ascii="宋体" w:hAnsi="宋体" w:cs="宋体"/>
        </w:rPr>
        <w:t>小时工作时间，常驻采购方指定地点办公，负责综合管理、技术管理、基础运维管理和业务拓展等相关团队的管理工作，负责运维总体的统筹协调、重大问题处理、投诉管理、争议管理等工作。要求运维项目经理至少具备如下的资质：</w:t>
      </w:r>
    </w:p>
    <w:p>
      <w:pPr>
        <w:snapToGrid w:val="0"/>
        <w:spacing w:line="360" w:lineRule="auto"/>
        <w:ind w:firstLine="480" w:firstLineChars="200"/>
        <w:rPr>
          <w:rFonts w:ascii="宋体"/>
        </w:rPr>
      </w:pPr>
      <w:r>
        <w:rPr>
          <w:rFonts w:ascii="宋体" w:hAnsi="宋体" w:cs="宋体"/>
        </w:rPr>
        <w:t>1</w:t>
      </w:r>
      <w:r>
        <w:rPr>
          <w:rFonts w:hint="eastAsia" w:ascii="宋体" w:hAnsi="宋体" w:cs="宋体"/>
        </w:rPr>
        <w:t>）计算机相关本科以上学历；</w:t>
      </w:r>
    </w:p>
    <w:p>
      <w:pPr>
        <w:snapToGrid w:val="0"/>
        <w:spacing w:line="360" w:lineRule="auto"/>
        <w:ind w:firstLine="480" w:firstLineChars="200"/>
        <w:rPr>
          <w:rFonts w:ascii="宋体"/>
        </w:rPr>
      </w:pPr>
      <w:r>
        <w:rPr>
          <w:rFonts w:ascii="宋体" w:hAnsi="宋体" w:cs="宋体"/>
        </w:rPr>
        <w:t>2</w:t>
      </w:r>
      <w:r>
        <w:rPr>
          <w:rFonts w:hint="eastAsia" w:ascii="宋体" w:hAnsi="宋体" w:cs="宋体"/>
        </w:rPr>
        <w:t>）3年以上运维工作经验；</w:t>
      </w:r>
    </w:p>
    <w:p>
      <w:pPr>
        <w:snapToGrid w:val="0"/>
        <w:spacing w:line="360" w:lineRule="auto"/>
        <w:ind w:firstLine="480" w:firstLineChars="200"/>
        <w:rPr>
          <w:rFonts w:ascii="宋体"/>
        </w:rPr>
      </w:pPr>
      <w:r>
        <w:rPr>
          <w:rFonts w:ascii="宋体" w:hAnsi="宋体" w:cs="宋体"/>
        </w:rPr>
        <w:t>3</w:t>
      </w:r>
      <w:r>
        <w:rPr>
          <w:rFonts w:hint="eastAsia" w:ascii="宋体" w:hAnsi="宋体" w:cs="宋体"/>
        </w:rPr>
        <w:t>）</w:t>
      </w:r>
      <w:r>
        <w:rPr>
          <w:rFonts w:ascii="宋体" w:hAnsi="宋体" w:cs="宋体"/>
        </w:rPr>
        <w:t>1</w:t>
      </w:r>
      <w:r>
        <w:rPr>
          <w:rFonts w:hint="eastAsia" w:ascii="宋体" w:hAnsi="宋体" w:cs="宋体"/>
        </w:rPr>
        <w:t>年以上运维管理工作经验；</w:t>
      </w:r>
    </w:p>
    <w:p>
      <w:pPr>
        <w:numPr>
          <w:ilvl w:val="0"/>
          <w:numId w:val="35"/>
        </w:numPr>
        <w:snapToGrid w:val="0"/>
        <w:spacing w:line="360" w:lineRule="auto"/>
        <w:ind w:firstLine="480" w:firstLineChars="200"/>
        <w:rPr>
          <w:rFonts w:ascii="宋体"/>
        </w:rPr>
      </w:pPr>
      <w:r>
        <w:rPr>
          <w:rFonts w:hint="eastAsia" w:ascii="宋体" w:hAnsi="宋体" w:cs="宋体"/>
        </w:rPr>
        <w:t>具有国家认证的项目经理证书。</w:t>
      </w:r>
    </w:p>
    <w:p>
      <w:pPr>
        <w:numPr>
          <w:ilvl w:val="0"/>
          <w:numId w:val="35"/>
        </w:numPr>
        <w:snapToGrid w:val="0"/>
        <w:spacing w:line="360" w:lineRule="auto"/>
        <w:ind w:firstLine="480" w:firstLineChars="200"/>
        <w:rPr>
          <w:rFonts w:ascii="宋体"/>
        </w:rPr>
      </w:pPr>
      <w:r>
        <w:rPr>
          <w:rFonts w:hint="eastAsia" w:ascii="宋体" w:hAnsi="宋体" w:cs="宋体"/>
        </w:rPr>
        <w:t>熟悉项目管理的相关技能，具备较强的的沟通能力及组织协调能力。</w:t>
      </w:r>
    </w:p>
    <w:p>
      <w:pPr>
        <w:pStyle w:val="5"/>
        <w:spacing w:line="360" w:lineRule="auto"/>
        <w:jc w:val="left"/>
        <w:rPr>
          <w:rFonts w:ascii="宋体" w:cs="Times New Roman"/>
          <w:sz w:val="24"/>
          <w:szCs w:val="24"/>
        </w:rPr>
      </w:pPr>
      <w:r>
        <w:rPr>
          <w:rFonts w:ascii="宋体" w:hAnsi="宋体" w:cs="宋体"/>
          <w:sz w:val="24"/>
          <w:szCs w:val="24"/>
        </w:rPr>
        <w:t>4.2.1.2</w:t>
      </w:r>
      <w:r>
        <w:rPr>
          <w:rFonts w:hint="eastAsia" w:ascii="宋体" w:hAnsi="宋体" w:cs="宋体"/>
          <w:sz w:val="24"/>
          <w:szCs w:val="24"/>
        </w:rPr>
        <w:t>技术人员安排</w:t>
      </w:r>
    </w:p>
    <w:p>
      <w:pPr>
        <w:tabs>
          <w:tab w:val="left" w:pos="1428"/>
        </w:tabs>
        <w:spacing w:line="360" w:lineRule="auto"/>
        <w:ind w:firstLine="480" w:firstLineChars="200"/>
        <w:rPr>
          <w:rFonts w:ascii="宋体"/>
        </w:rPr>
      </w:pPr>
      <w:r>
        <w:rPr>
          <w:rFonts w:ascii="宋体" w:hAnsi="宋体" w:cs="宋体"/>
        </w:rPr>
        <w:t>1</w:t>
      </w:r>
      <w:r>
        <w:rPr>
          <w:rFonts w:hint="eastAsia" w:ascii="宋体" w:hAnsi="宋体" w:cs="宋体"/>
        </w:rPr>
        <w:t>）★除运维项目负责人外，外包服务需提供</w:t>
      </w:r>
      <w:r>
        <w:rPr>
          <w:rFonts w:ascii="宋体" w:hAnsi="宋体" w:cs="宋体"/>
        </w:rPr>
        <w:t>2</w:t>
      </w:r>
      <w:r>
        <w:rPr>
          <w:rFonts w:hint="eastAsia" w:ascii="宋体" w:hAnsi="宋体" w:cs="宋体"/>
        </w:rPr>
        <w:t>名技术人员，</w:t>
      </w:r>
      <w:r>
        <w:rPr>
          <w:rFonts w:ascii="宋体" w:hAnsi="宋体" w:cs="宋体"/>
        </w:rPr>
        <w:t xml:space="preserve"> </w:t>
      </w:r>
      <w:r>
        <w:rPr>
          <w:rFonts w:hint="eastAsia" w:ascii="宋体" w:hAnsi="宋体" w:cs="宋体"/>
        </w:rPr>
        <w:t>及所有有关技术服务和维修的设备、工具，</w:t>
      </w:r>
      <w:r>
        <w:rPr>
          <w:rFonts w:ascii="宋体" w:hAnsi="宋体" w:cs="宋体"/>
        </w:rPr>
        <w:t>8</w:t>
      </w:r>
      <w:r>
        <w:rPr>
          <w:rFonts w:hint="eastAsia" w:ascii="宋体" w:hAnsi="宋体" w:cs="宋体"/>
        </w:rPr>
        <w:t>小时工作时间，常驻采购方指定地点办公，提供及时的技术服务。采购方仅提供办公室，不予提供其他设备及工具。</w:t>
      </w:r>
    </w:p>
    <w:p>
      <w:pPr>
        <w:tabs>
          <w:tab w:val="left" w:pos="1428"/>
        </w:tabs>
        <w:spacing w:line="360" w:lineRule="auto"/>
        <w:ind w:firstLine="480" w:firstLineChars="200"/>
        <w:rPr>
          <w:rFonts w:ascii="宋体"/>
        </w:rPr>
      </w:pPr>
      <w:r>
        <w:rPr>
          <w:rFonts w:ascii="宋体" w:hAnsi="宋体" w:cs="宋体"/>
        </w:rPr>
        <w:t>2</w:t>
      </w:r>
      <w:r>
        <w:rPr>
          <w:rFonts w:hint="eastAsia" w:ascii="宋体" w:hAnsi="宋体" w:cs="宋体"/>
        </w:rPr>
        <w:t>）外包服务所提供的国家项目经理须作为此次外包服务项目的负责人，需严格按照标书要求提交人员名单进行常驻安排，不得随意调整人员，只可追加人员不得减少技术人员；只能提高整体技术人员技术实力而不得整体降低；</w:t>
      </w:r>
    </w:p>
    <w:p>
      <w:pPr>
        <w:tabs>
          <w:tab w:val="left" w:pos="1428"/>
        </w:tabs>
        <w:spacing w:line="360" w:lineRule="auto"/>
        <w:ind w:firstLine="480" w:firstLineChars="200"/>
        <w:rPr>
          <w:rFonts w:ascii="宋体"/>
        </w:rPr>
      </w:pPr>
      <w:r>
        <w:rPr>
          <w:rFonts w:ascii="宋体" w:hAnsi="宋体" w:cs="宋体"/>
        </w:rPr>
        <w:t>3</w:t>
      </w:r>
      <w:r>
        <w:rPr>
          <w:rFonts w:hint="eastAsia" w:ascii="宋体" w:hAnsi="宋体" w:cs="宋体"/>
        </w:rPr>
        <w:t>）招标人将依据中标人投标文件中的人员数量及资格认证等承诺内容，对中标人提供的外包服务项目人员进行逐一核查。如发现所提供人员技术实力整体低于中标人投标文件中的人员情况承诺内容，或所提供技术人员服务水平达不到招标人要求，招标人有权不予支付任何费用并单方面终止合同；</w:t>
      </w:r>
    </w:p>
    <w:p>
      <w:pPr>
        <w:tabs>
          <w:tab w:val="left" w:pos="1428"/>
        </w:tabs>
        <w:spacing w:line="360" w:lineRule="auto"/>
        <w:ind w:firstLine="480" w:firstLineChars="200"/>
        <w:rPr>
          <w:rFonts w:ascii="宋体"/>
        </w:rPr>
      </w:pPr>
      <w:r>
        <w:rPr>
          <w:rFonts w:ascii="宋体" w:hAnsi="宋体" w:cs="宋体"/>
        </w:rPr>
        <w:t>4</w:t>
      </w:r>
      <w:r>
        <w:rPr>
          <w:rFonts w:hint="eastAsia" w:ascii="宋体" w:hAnsi="宋体" w:cs="宋体"/>
        </w:rPr>
        <w:t>）外包服务商所提供的技术人员需具有一定的软硬件及网络维护能力，并且对于甲方业务涉及到的各业务系统、网络设备、多媒体会议系统、监控系统等工作也具有一定技术能力；</w:t>
      </w:r>
    </w:p>
    <w:p>
      <w:pPr>
        <w:tabs>
          <w:tab w:val="left" w:pos="1428"/>
        </w:tabs>
        <w:spacing w:line="360" w:lineRule="auto"/>
        <w:ind w:firstLine="480" w:firstLineChars="200"/>
        <w:rPr>
          <w:rFonts w:ascii="宋体"/>
        </w:rPr>
      </w:pPr>
      <w:r>
        <w:rPr>
          <w:rFonts w:ascii="宋体" w:hAnsi="宋体" w:cs="宋体"/>
        </w:rPr>
        <w:t>5</w:t>
      </w:r>
      <w:r>
        <w:rPr>
          <w:rFonts w:hint="eastAsia" w:ascii="宋体" w:hAnsi="宋体" w:cs="宋体"/>
        </w:rPr>
        <w:t>）所安排的技术人员，须每周</w:t>
      </w:r>
      <w:r>
        <w:rPr>
          <w:rFonts w:ascii="宋体" w:hAnsi="宋体" w:cs="宋体"/>
        </w:rPr>
        <w:t>5</w:t>
      </w:r>
      <w:r>
        <w:rPr>
          <w:rFonts w:hint="eastAsia" w:ascii="宋体" w:hAnsi="宋体" w:cs="宋体"/>
        </w:rPr>
        <w:t>天工作时间，早</w:t>
      </w:r>
      <w:r>
        <w:rPr>
          <w:rFonts w:ascii="宋体" w:hAnsi="宋体" w:cs="宋体"/>
        </w:rPr>
        <w:t>8</w:t>
      </w:r>
      <w:r>
        <w:rPr>
          <w:rFonts w:hint="eastAsia" w:ascii="宋体" w:hAnsi="宋体" w:cs="宋体"/>
        </w:rPr>
        <w:t>：</w:t>
      </w:r>
      <w:r>
        <w:rPr>
          <w:rFonts w:ascii="宋体" w:hAnsi="宋体" w:cs="宋体"/>
        </w:rPr>
        <w:t>30</w:t>
      </w:r>
      <w:r>
        <w:rPr>
          <w:rFonts w:hint="eastAsia" w:ascii="宋体" w:hAnsi="宋体" w:cs="宋体"/>
        </w:rPr>
        <w:t>到晚</w:t>
      </w:r>
      <w:r>
        <w:rPr>
          <w:rFonts w:ascii="宋体" w:hAnsi="宋体" w:cs="宋体"/>
        </w:rPr>
        <w:t>5</w:t>
      </w:r>
      <w:r>
        <w:rPr>
          <w:rFonts w:hint="eastAsia" w:ascii="宋体" w:hAnsi="宋体" w:cs="宋体"/>
        </w:rPr>
        <w:t>：</w:t>
      </w:r>
      <w:r>
        <w:rPr>
          <w:rFonts w:ascii="宋体" w:hAnsi="宋体" w:cs="宋体"/>
        </w:rPr>
        <w:t>30</w:t>
      </w:r>
      <w:r>
        <w:rPr>
          <w:rFonts w:hint="eastAsia" w:ascii="宋体" w:hAnsi="宋体" w:cs="宋体"/>
        </w:rPr>
        <w:t>的常驻采购方指定地点办公，并实行考勤打卡；如有临时加班安排须遵从采购方的加班要求，加班所产生的费用，采购方不予负担。</w:t>
      </w:r>
    </w:p>
    <w:p>
      <w:pPr>
        <w:pStyle w:val="3"/>
        <w:numPr>
          <w:ilvl w:val="0"/>
          <w:numId w:val="0"/>
        </w:numPr>
        <w:spacing w:line="360" w:lineRule="auto"/>
        <w:rPr>
          <w:rFonts w:ascii="宋体" w:hAnsi="宋体" w:eastAsia="宋体" w:cs="Times New Roman"/>
          <w:sz w:val="24"/>
          <w:szCs w:val="24"/>
        </w:rPr>
      </w:pPr>
      <w:bookmarkStart w:id="243" w:name="_Toc285470474"/>
      <w:bookmarkEnd w:id="243"/>
      <w:bookmarkStart w:id="244" w:name="_Toc285470651"/>
      <w:bookmarkEnd w:id="244"/>
      <w:bookmarkStart w:id="245" w:name="_Toc285482966"/>
      <w:bookmarkEnd w:id="245"/>
      <w:bookmarkStart w:id="246" w:name="_Toc285470650"/>
      <w:bookmarkEnd w:id="246"/>
      <w:bookmarkStart w:id="247" w:name="_Toc285470472"/>
      <w:bookmarkEnd w:id="247"/>
      <w:bookmarkStart w:id="248" w:name="_Toc285482964"/>
      <w:bookmarkEnd w:id="248"/>
      <w:bookmarkStart w:id="249" w:name="_Toc285470648"/>
      <w:bookmarkEnd w:id="249"/>
      <w:bookmarkStart w:id="250" w:name="_Toc285470471"/>
      <w:bookmarkEnd w:id="250"/>
      <w:bookmarkStart w:id="251" w:name="_Toc285482961"/>
      <w:bookmarkEnd w:id="251"/>
      <w:bookmarkStart w:id="252" w:name="_Toc285482963"/>
      <w:bookmarkEnd w:id="252"/>
      <w:bookmarkStart w:id="253" w:name="_Toc285470647"/>
      <w:bookmarkEnd w:id="253"/>
      <w:bookmarkStart w:id="254" w:name="_Toc285470470"/>
      <w:bookmarkEnd w:id="254"/>
      <w:bookmarkStart w:id="255" w:name="_Toc285482962"/>
      <w:bookmarkEnd w:id="255"/>
      <w:bookmarkStart w:id="256" w:name="_Toc285470646"/>
      <w:bookmarkEnd w:id="256"/>
      <w:bookmarkStart w:id="257" w:name="_Toc285470469"/>
      <w:bookmarkEnd w:id="257"/>
      <w:bookmarkStart w:id="258" w:name="_Toc285470645"/>
      <w:bookmarkEnd w:id="258"/>
      <w:bookmarkStart w:id="259" w:name="_Toc285470468"/>
      <w:bookmarkEnd w:id="259"/>
      <w:bookmarkStart w:id="260" w:name="_Toc285482960"/>
      <w:bookmarkEnd w:id="260"/>
      <w:bookmarkStart w:id="261" w:name="_Toc285470644"/>
      <w:bookmarkEnd w:id="261"/>
      <w:bookmarkStart w:id="262" w:name="_Toc285470467"/>
      <w:bookmarkEnd w:id="262"/>
      <w:bookmarkStart w:id="263" w:name="_Toc285482959"/>
      <w:bookmarkEnd w:id="263"/>
      <w:bookmarkStart w:id="264" w:name="_Toc285470643"/>
      <w:bookmarkEnd w:id="264"/>
      <w:bookmarkStart w:id="265" w:name="_Toc285470466"/>
      <w:bookmarkEnd w:id="265"/>
      <w:bookmarkStart w:id="266" w:name="_Toc285482958"/>
      <w:bookmarkEnd w:id="266"/>
      <w:bookmarkStart w:id="267" w:name="_Toc285470642"/>
      <w:bookmarkEnd w:id="267"/>
      <w:bookmarkStart w:id="268" w:name="_Toc285470465"/>
      <w:bookmarkEnd w:id="268"/>
      <w:bookmarkStart w:id="269" w:name="_Toc285482957"/>
      <w:bookmarkEnd w:id="269"/>
      <w:bookmarkStart w:id="270" w:name="_Toc285470641"/>
      <w:bookmarkEnd w:id="270"/>
      <w:bookmarkStart w:id="271" w:name="_Toc285470464"/>
      <w:bookmarkEnd w:id="271"/>
      <w:bookmarkStart w:id="272" w:name="_Toc285482956"/>
      <w:bookmarkEnd w:id="272"/>
      <w:bookmarkStart w:id="273" w:name="_Toc285470640"/>
      <w:bookmarkEnd w:id="273"/>
      <w:bookmarkStart w:id="274" w:name="_Toc285470463"/>
      <w:bookmarkEnd w:id="274"/>
      <w:bookmarkStart w:id="275" w:name="_Toc285482955"/>
      <w:bookmarkEnd w:id="275"/>
      <w:bookmarkStart w:id="276" w:name="_Toc285470639"/>
      <w:bookmarkEnd w:id="276"/>
      <w:bookmarkStart w:id="277" w:name="_Toc285470462"/>
      <w:bookmarkEnd w:id="277"/>
      <w:bookmarkStart w:id="278" w:name="_Toc285482954"/>
      <w:bookmarkEnd w:id="278"/>
      <w:bookmarkStart w:id="279" w:name="_Toc285470638"/>
      <w:bookmarkEnd w:id="279"/>
      <w:bookmarkStart w:id="280" w:name="_Toc285470461"/>
      <w:bookmarkEnd w:id="280"/>
      <w:bookmarkStart w:id="281" w:name="_Toc285482953"/>
      <w:bookmarkEnd w:id="281"/>
      <w:bookmarkStart w:id="282" w:name="_Toc285470637"/>
      <w:bookmarkEnd w:id="282"/>
      <w:bookmarkStart w:id="283" w:name="_Toc285470479"/>
      <w:bookmarkEnd w:id="283"/>
      <w:bookmarkStart w:id="284" w:name="_Toc285482971"/>
      <w:bookmarkEnd w:id="284"/>
      <w:bookmarkStart w:id="285" w:name="_Toc285470460"/>
      <w:bookmarkEnd w:id="285"/>
      <w:bookmarkStart w:id="286" w:name="_Toc285470656"/>
      <w:bookmarkEnd w:id="286"/>
      <w:bookmarkStart w:id="287" w:name="_Toc285482972"/>
      <w:bookmarkEnd w:id="287"/>
      <w:bookmarkStart w:id="288" w:name="_Toc285470480"/>
      <w:bookmarkEnd w:id="288"/>
      <w:bookmarkStart w:id="289" w:name="_Toc285470657"/>
      <w:bookmarkEnd w:id="289"/>
      <w:bookmarkStart w:id="290" w:name="_Toc285482973"/>
      <w:bookmarkEnd w:id="290"/>
      <w:bookmarkStart w:id="291" w:name="_Toc285470481"/>
      <w:bookmarkEnd w:id="291"/>
      <w:bookmarkStart w:id="292" w:name="_Toc285470658"/>
      <w:bookmarkEnd w:id="292"/>
      <w:bookmarkStart w:id="293" w:name="_Toc285482974"/>
      <w:bookmarkEnd w:id="293"/>
      <w:bookmarkStart w:id="294" w:name="_Toc285470482"/>
      <w:bookmarkEnd w:id="294"/>
      <w:bookmarkStart w:id="295" w:name="_Toc285470659"/>
      <w:bookmarkEnd w:id="295"/>
      <w:bookmarkStart w:id="296" w:name="_Toc285482975"/>
      <w:bookmarkEnd w:id="296"/>
      <w:bookmarkStart w:id="297" w:name="_Toc267586937"/>
      <w:bookmarkEnd w:id="297"/>
      <w:bookmarkStart w:id="298" w:name="_Toc267586938"/>
      <w:bookmarkEnd w:id="298"/>
      <w:bookmarkStart w:id="299" w:name="_Toc285470452"/>
      <w:bookmarkEnd w:id="299"/>
      <w:bookmarkStart w:id="300" w:name="_Toc285470629"/>
      <w:bookmarkEnd w:id="300"/>
      <w:bookmarkStart w:id="301" w:name="_Toc285482945"/>
      <w:bookmarkEnd w:id="301"/>
      <w:bookmarkStart w:id="302" w:name="_Toc285470453"/>
      <w:bookmarkEnd w:id="302"/>
      <w:bookmarkStart w:id="303" w:name="_Toc285470630"/>
      <w:bookmarkEnd w:id="303"/>
      <w:bookmarkStart w:id="304" w:name="_Toc285482946"/>
      <w:bookmarkEnd w:id="304"/>
      <w:bookmarkStart w:id="305" w:name="_Toc285470454"/>
      <w:bookmarkEnd w:id="305"/>
      <w:bookmarkStart w:id="306" w:name="_Toc285470631"/>
      <w:bookmarkEnd w:id="306"/>
      <w:bookmarkStart w:id="307" w:name="_Toc285482947"/>
      <w:bookmarkEnd w:id="307"/>
      <w:bookmarkStart w:id="308" w:name="_Toc285470458"/>
      <w:bookmarkEnd w:id="308"/>
      <w:bookmarkStart w:id="309" w:name="_Toc285470635"/>
      <w:bookmarkEnd w:id="309"/>
      <w:bookmarkStart w:id="310" w:name="_Toc285482951"/>
      <w:bookmarkEnd w:id="310"/>
      <w:bookmarkStart w:id="311" w:name="_Toc285470459"/>
      <w:bookmarkEnd w:id="311"/>
      <w:bookmarkStart w:id="312" w:name="_Toc285470636"/>
      <w:bookmarkEnd w:id="312"/>
      <w:bookmarkStart w:id="313" w:name="_Toc285470649"/>
      <w:bookmarkEnd w:id="313"/>
      <w:bookmarkStart w:id="314" w:name="_Toc285482952"/>
      <w:bookmarkEnd w:id="314"/>
      <w:bookmarkStart w:id="315" w:name="_Toc285470655"/>
      <w:bookmarkEnd w:id="315"/>
      <w:bookmarkStart w:id="316" w:name="_Toc285470478"/>
      <w:bookmarkEnd w:id="316"/>
      <w:bookmarkStart w:id="317" w:name="_Toc285482970"/>
      <w:bookmarkEnd w:id="317"/>
      <w:bookmarkStart w:id="318" w:name="_Toc285470654"/>
      <w:bookmarkEnd w:id="318"/>
      <w:bookmarkStart w:id="319" w:name="_Toc285470477"/>
      <w:bookmarkEnd w:id="319"/>
      <w:bookmarkStart w:id="320" w:name="_Toc285482969"/>
      <w:bookmarkEnd w:id="320"/>
      <w:bookmarkStart w:id="321" w:name="_Toc285470653"/>
      <w:bookmarkEnd w:id="321"/>
      <w:bookmarkStart w:id="322" w:name="_Toc285470476"/>
      <w:bookmarkEnd w:id="322"/>
      <w:bookmarkStart w:id="323" w:name="_Toc285482968"/>
      <w:bookmarkEnd w:id="323"/>
      <w:bookmarkStart w:id="324" w:name="_Toc285470652"/>
      <w:bookmarkEnd w:id="324"/>
      <w:bookmarkStart w:id="325" w:name="_Toc285470475"/>
      <w:bookmarkEnd w:id="325"/>
      <w:bookmarkStart w:id="326" w:name="_Toc285482967"/>
      <w:bookmarkEnd w:id="326"/>
      <w:bookmarkStart w:id="327" w:name="_Toc285470473"/>
      <w:bookmarkEnd w:id="327"/>
      <w:bookmarkStart w:id="328" w:name="_Toc285482965"/>
      <w:bookmarkEnd w:id="328"/>
      <w:bookmarkStart w:id="329" w:name="_Toc1429181"/>
      <w:bookmarkStart w:id="330" w:name="_Toc285454065"/>
      <w:bookmarkStart w:id="331" w:name="_Toc298247087"/>
      <w:bookmarkStart w:id="332" w:name="_Toc323818663"/>
      <w:bookmarkStart w:id="333" w:name="_Toc332370215"/>
      <w:bookmarkStart w:id="334" w:name="_Toc332870463"/>
      <w:bookmarkStart w:id="335" w:name="_Toc25282"/>
      <w:r>
        <w:rPr>
          <w:rFonts w:ascii="宋体" w:hAnsi="宋体" w:eastAsia="宋体" w:cs="宋体"/>
          <w:sz w:val="24"/>
          <w:szCs w:val="24"/>
        </w:rPr>
        <w:t>4.3</w:t>
      </w:r>
      <w:r>
        <w:rPr>
          <w:rFonts w:hint="eastAsia" w:ascii="宋体" w:hAnsi="宋体" w:eastAsia="宋体" w:cs="宋体"/>
          <w:sz w:val="24"/>
          <w:szCs w:val="24"/>
        </w:rPr>
        <w:t>技术要求</w:t>
      </w:r>
      <w:bookmarkEnd w:id="329"/>
    </w:p>
    <w:p>
      <w:pPr>
        <w:tabs>
          <w:tab w:val="left" w:pos="1428"/>
        </w:tabs>
        <w:spacing w:line="360" w:lineRule="auto"/>
        <w:ind w:firstLine="480" w:firstLineChars="200"/>
        <w:rPr>
          <w:rFonts w:ascii="宋体"/>
        </w:rPr>
      </w:pPr>
      <w:r>
        <w:rPr>
          <w:rFonts w:hint="eastAsia" w:ascii="宋体" w:hAnsi="宋体" w:cs="宋体"/>
        </w:rPr>
        <w:t>对设备进行日常维护、保养，对故障设备由专业人员采用专业手段进行维修。主要包括以下几方面：</w:t>
      </w:r>
    </w:p>
    <w:p>
      <w:pPr>
        <w:pStyle w:val="4"/>
        <w:snapToGrid w:val="0"/>
        <w:spacing w:line="360" w:lineRule="auto"/>
        <w:rPr>
          <w:rFonts w:ascii="宋体" w:cs="Times New Roman"/>
          <w:sz w:val="24"/>
          <w:szCs w:val="24"/>
        </w:rPr>
      </w:pPr>
      <w:bookmarkStart w:id="336" w:name="_Toc1429182"/>
      <w:r>
        <w:rPr>
          <w:rFonts w:ascii="宋体" w:hAnsi="宋体" w:cs="宋体"/>
          <w:sz w:val="24"/>
          <w:szCs w:val="24"/>
        </w:rPr>
        <w:t>4.3.1</w:t>
      </w:r>
      <w:r>
        <w:rPr>
          <w:rFonts w:hint="eastAsia" w:ascii="宋体" w:hAnsi="宋体" w:cs="宋体"/>
          <w:sz w:val="24"/>
          <w:szCs w:val="24"/>
        </w:rPr>
        <w:t>设备硬件维护及故障排除</w:t>
      </w:r>
      <w:bookmarkEnd w:id="336"/>
      <w:r>
        <w:rPr>
          <w:rFonts w:ascii="宋体" w:cs="Times New Roman"/>
          <w:sz w:val="24"/>
          <w:szCs w:val="24"/>
        </w:rPr>
        <w:tab/>
      </w:r>
    </w:p>
    <w:p>
      <w:pPr>
        <w:tabs>
          <w:tab w:val="left" w:pos="1428"/>
        </w:tabs>
        <w:spacing w:line="360" w:lineRule="auto"/>
        <w:ind w:firstLine="480" w:firstLineChars="200"/>
        <w:rPr>
          <w:rFonts w:ascii="宋体"/>
        </w:rPr>
      </w:pPr>
      <w:r>
        <w:rPr>
          <w:rFonts w:ascii="宋体" w:hAnsi="宋体" w:cs="宋体"/>
        </w:rPr>
        <w:t>1</w:t>
      </w:r>
      <w:r>
        <w:rPr>
          <w:rFonts w:hint="eastAsia" w:ascii="宋体" w:hAnsi="宋体" w:cs="宋体"/>
        </w:rPr>
        <w:t>）硬件故障的快速响应，工作日工作时间</w:t>
      </w:r>
      <w:r>
        <w:rPr>
          <w:rFonts w:ascii="宋体" w:hAnsi="宋体" w:cs="宋体"/>
        </w:rPr>
        <w:t>10</w:t>
      </w:r>
      <w:r>
        <w:rPr>
          <w:rFonts w:hint="eastAsia" w:ascii="宋体" w:hAnsi="宋体" w:cs="宋体"/>
        </w:rPr>
        <w:t>分钟内响应，非工作日时间</w:t>
      </w:r>
      <w:r>
        <w:rPr>
          <w:rFonts w:ascii="宋体" w:hAnsi="宋体" w:cs="宋体"/>
        </w:rPr>
        <w:t>1</w:t>
      </w:r>
      <w:r>
        <w:rPr>
          <w:rFonts w:hint="eastAsia" w:ascii="宋体" w:hAnsi="宋体" w:cs="宋体"/>
        </w:rPr>
        <w:t>小时内响应，快速解决硬件故障，使设备恢复正常运转。</w:t>
      </w:r>
    </w:p>
    <w:p>
      <w:pPr>
        <w:tabs>
          <w:tab w:val="left" w:pos="1428"/>
        </w:tabs>
        <w:spacing w:line="360" w:lineRule="auto"/>
        <w:ind w:firstLine="480" w:firstLineChars="200"/>
        <w:rPr>
          <w:rFonts w:ascii="宋体"/>
        </w:rPr>
      </w:pPr>
      <w:r>
        <w:rPr>
          <w:rFonts w:ascii="宋体" w:hAnsi="宋体" w:cs="宋体"/>
        </w:rPr>
        <w:t>2</w:t>
      </w:r>
      <w:r>
        <w:rPr>
          <w:rFonts w:hint="eastAsia" w:ascii="宋体" w:hAnsi="宋体" w:cs="宋体"/>
        </w:rPr>
        <w:t>）硬件设备状况检测、故障排除等。如果硬件故障须更新部件时，外包服务须给用户提出</w:t>
      </w:r>
      <w:r>
        <w:rPr>
          <w:rFonts w:ascii="宋体" w:hAnsi="宋体" w:cs="宋体"/>
        </w:rPr>
        <w:t>2</w:t>
      </w:r>
      <w:r>
        <w:rPr>
          <w:rFonts w:hint="eastAsia" w:ascii="宋体" w:hAnsi="宋体" w:cs="宋体"/>
        </w:rPr>
        <w:t>种以上更新方案，供用户选择，并在用户和主管部门审核许可下，帮助用户采办维修所须的配件。</w:t>
      </w:r>
      <w:r>
        <w:rPr>
          <w:rFonts w:ascii="宋体" w:hAnsi="宋体" w:cs="宋体"/>
        </w:rPr>
        <w:t xml:space="preserve"> </w:t>
      </w:r>
      <w:r>
        <w:rPr>
          <w:rFonts w:hint="eastAsia" w:ascii="宋体" w:hAnsi="宋体" w:cs="宋体"/>
        </w:rPr>
        <w:t>配件更换只收取成本费；</w:t>
      </w:r>
    </w:p>
    <w:p>
      <w:pPr>
        <w:tabs>
          <w:tab w:val="left" w:pos="1428"/>
        </w:tabs>
        <w:spacing w:line="360" w:lineRule="auto"/>
        <w:ind w:firstLine="480" w:firstLineChars="200"/>
        <w:rPr>
          <w:rFonts w:ascii="宋体"/>
        </w:rPr>
      </w:pPr>
      <w:r>
        <w:rPr>
          <w:rFonts w:ascii="宋体" w:hAnsi="宋体" w:cs="宋体"/>
        </w:rPr>
        <w:t>3</w:t>
      </w:r>
      <w:r>
        <w:rPr>
          <w:rFonts w:hint="eastAsia" w:ascii="宋体" w:hAnsi="宋体" w:cs="宋体"/>
        </w:rPr>
        <w:t>）提供免费的硬件升级咨询及设备使用咨询；</w:t>
      </w:r>
    </w:p>
    <w:p>
      <w:pPr>
        <w:pStyle w:val="4"/>
        <w:snapToGrid w:val="0"/>
        <w:spacing w:line="360" w:lineRule="auto"/>
        <w:rPr>
          <w:rFonts w:ascii="宋体" w:cs="Times New Roman"/>
          <w:sz w:val="24"/>
          <w:szCs w:val="24"/>
        </w:rPr>
      </w:pPr>
      <w:bookmarkStart w:id="337" w:name="_Toc1429183"/>
      <w:r>
        <w:rPr>
          <w:rFonts w:ascii="宋体" w:hAnsi="宋体" w:cs="宋体"/>
          <w:sz w:val="24"/>
          <w:szCs w:val="24"/>
        </w:rPr>
        <w:t>4.3</w:t>
      </w:r>
      <w:r>
        <w:rPr>
          <w:rFonts w:ascii="宋体" w:cs="宋体"/>
          <w:sz w:val="24"/>
          <w:szCs w:val="24"/>
        </w:rPr>
        <w:t>.</w:t>
      </w:r>
      <w:r>
        <w:rPr>
          <w:rFonts w:ascii="宋体" w:hAnsi="宋体" w:cs="宋体"/>
          <w:sz w:val="24"/>
          <w:szCs w:val="24"/>
        </w:rPr>
        <w:t>2</w:t>
      </w:r>
      <w:r>
        <w:rPr>
          <w:rFonts w:hint="eastAsia" w:ascii="宋体" w:hAnsi="宋体" w:cs="宋体"/>
          <w:sz w:val="24"/>
          <w:szCs w:val="24"/>
        </w:rPr>
        <w:t>软件故障的快速排除</w:t>
      </w:r>
      <w:bookmarkEnd w:id="337"/>
    </w:p>
    <w:p>
      <w:pPr>
        <w:tabs>
          <w:tab w:val="left" w:pos="1428"/>
        </w:tabs>
        <w:spacing w:before="240" w:line="360" w:lineRule="auto"/>
        <w:ind w:firstLine="480" w:firstLineChars="200"/>
        <w:rPr>
          <w:rFonts w:ascii="宋体"/>
        </w:rPr>
      </w:pPr>
      <w:r>
        <w:rPr>
          <w:rFonts w:ascii="宋体" w:hAnsi="宋体" w:cs="宋体"/>
        </w:rPr>
        <w:t>1</w:t>
      </w:r>
      <w:r>
        <w:rPr>
          <w:rFonts w:hint="eastAsia" w:ascii="宋体" w:hAnsi="宋体" w:cs="宋体"/>
        </w:rPr>
        <w:t>）工作日工作时间</w:t>
      </w:r>
      <w:r>
        <w:rPr>
          <w:rFonts w:ascii="宋体" w:hAnsi="宋体" w:cs="宋体"/>
        </w:rPr>
        <w:t>1</w:t>
      </w:r>
      <w:r>
        <w:rPr>
          <w:rFonts w:hint="eastAsia" w:ascii="宋体" w:hAnsi="宋体" w:cs="宋体"/>
        </w:rPr>
        <w:t>小时内响应，非工作日时间</w:t>
      </w:r>
      <w:r>
        <w:rPr>
          <w:rFonts w:ascii="宋体" w:hAnsi="宋体" w:cs="宋体"/>
        </w:rPr>
        <w:t>2</w:t>
      </w:r>
      <w:r>
        <w:rPr>
          <w:rFonts w:hint="eastAsia" w:ascii="宋体" w:hAnsi="宋体" w:cs="宋体"/>
        </w:rPr>
        <w:t>小时内响应，快速解决软件故障，使设备恢复正常运转；</w:t>
      </w:r>
    </w:p>
    <w:p>
      <w:pPr>
        <w:tabs>
          <w:tab w:val="left" w:pos="1428"/>
        </w:tabs>
        <w:spacing w:line="360" w:lineRule="auto"/>
        <w:ind w:firstLine="482" w:firstLineChars="200"/>
        <w:rPr>
          <w:rFonts w:ascii="宋体"/>
        </w:rPr>
      </w:pPr>
      <w:r>
        <w:rPr>
          <w:rFonts w:ascii="宋体" w:hAnsi="宋体" w:cs="宋体"/>
          <w:b/>
          <w:bCs/>
        </w:rPr>
        <w:t>2</w:t>
      </w:r>
      <w:r>
        <w:rPr>
          <w:rFonts w:hint="eastAsia" w:ascii="宋体" w:hAnsi="宋体" w:cs="宋体"/>
          <w:b/>
          <w:bCs/>
        </w:rPr>
        <w:t>）</w:t>
      </w:r>
      <w:r>
        <w:rPr>
          <w:rFonts w:hint="eastAsia" w:ascii="宋体" w:hAnsi="宋体" w:cs="宋体"/>
        </w:rPr>
        <w:t>外包服务须协助并完成采购人的多种教育应用软件的日常更新及升级工作，须在指定时间内完成全区所有采购人的软件调整及升级工作，不得影响正常的教学应用；</w:t>
      </w:r>
    </w:p>
    <w:p>
      <w:pPr>
        <w:tabs>
          <w:tab w:val="left" w:pos="1428"/>
        </w:tabs>
        <w:spacing w:line="360" w:lineRule="auto"/>
        <w:ind w:firstLine="482" w:firstLineChars="200"/>
        <w:rPr>
          <w:rFonts w:ascii="宋体"/>
        </w:rPr>
      </w:pPr>
      <w:r>
        <w:rPr>
          <w:rFonts w:ascii="宋体" w:hAnsi="宋体" w:cs="宋体"/>
          <w:b/>
          <w:bCs/>
        </w:rPr>
        <w:t>3</w:t>
      </w:r>
      <w:r>
        <w:rPr>
          <w:rFonts w:hint="eastAsia" w:ascii="宋体" w:hAnsi="宋体" w:cs="宋体"/>
          <w:b/>
          <w:bCs/>
        </w:rPr>
        <w:t>）</w:t>
      </w:r>
      <w:r>
        <w:rPr>
          <w:rFonts w:hint="eastAsia" w:ascii="宋体" w:hAnsi="宋体" w:cs="宋体"/>
        </w:rPr>
        <w:t>外包服务须了解班班通的部署及应用，并做到对于突发事件的及时响应，在最短时间内恢复教学的正常运转；</w:t>
      </w:r>
    </w:p>
    <w:p>
      <w:pPr>
        <w:tabs>
          <w:tab w:val="left" w:pos="1428"/>
        </w:tabs>
        <w:spacing w:line="360" w:lineRule="auto"/>
        <w:ind w:firstLine="480" w:firstLineChars="200"/>
        <w:rPr>
          <w:rFonts w:ascii="宋体"/>
        </w:rPr>
      </w:pPr>
      <w:r>
        <w:rPr>
          <w:rFonts w:ascii="宋体" w:hAnsi="宋体" w:cs="宋体"/>
        </w:rPr>
        <w:t>4</w:t>
      </w:r>
      <w:r>
        <w:rPr>
          <w:rFonts w:hint="eastAsia" w:ascii="宋体" w:hAnsi="宋体" w:cs="宋体"/>
        </w:rPr>
        <w:t>）外包服务须要将针对采购人具体情况所封装的计算机操作系统光盘进行归档整理；</w:t>
      </w:r>
    </w:p>
    <w:p>
      <w:pPr>
        <w:tabs>
          <w:tab w:val="left" w:pos="1428"/>
        </w:tabs>
        <w:spacing w:line="360" w:lineRule="auto"/>
        <w:ind w:firstLine="480" w:firstLineChars="200"/>
        <w:rPr>
          <w:rFonts w:ascii="宋体"/>
        </w:rPr>
      </w:pPr>
      <w:r>
        <w:rPr>
          <w:rFonts w:ascii="宋体" w:hAnsi="宋体" w:cs="宋体"/>
        </w:rPr>
        <w:t>5</w:t>
      </w:r>
      <w:r>
        <w:rPr>
          <w:rFonts w:hint="eastAsia" w:ascii="宋体" w:hAnsi="宋体" w:cs="宋体"/>
        </w:rPr>
        <w:t>）外包服务须协助用户对于因教材更改所带来的教学所配套软件部署工作；</w:t>
      </w:r>
    </w:p>
    <w:p>
      <w:pPr>
        <w:tabs>
          <w:tab w:val="left" w:pos="1428"/>
        </w:tabs>
        <w:spacing w:line="360" w:lineRule="auto"/>
        <w:ind w:firstLine="480" w:firstLineChars="200"/>
        <w:rPr>
          <w:rFonts w:ascii="宋体"/>
        </w:rPr>
      </w:pPr>
      <w:r>
        <w:rPr>
          <w:rFonts w:ascii="宋体" w:hAnsi="宋体" w:cs="宋体"/>
        </w:rPr>
        <w:t>6</w:t>
      </w:r>
      <w:r>
        <w:rPr>
          <w:rFonts w:hint="eastAsia" w:ascii="宋体" w:hAnsi="宋体" w:cs="宋体"/>
        </w:rPr>
        <w:t>）外包服务须通过第三方软件或其他技术手段恢复用户所丢失数据。</w:t>
      </w:r>
    </w:p>
    <w:p>
      <w:pPr>
        <w:pStyle w:val="3"/>
        <w:numPr>
          <w:ilvl w:val="0"/>
          <w:numId w:val="0"/>
        </w:numPr>
        <w:spacing w:line="360" w:lineRule="auto"/>
        <w:rPr>
          <w:rFonts w:ascii="宋体" w:hAnsi="宋体" w:eastAsia="宋体" w:cs="Times New Roman"/>
          <w:sz w:val="24"/>
          <w:szCs w:val="24"/>
        </w:rPr>
      </w:pPr>
      <w:bookmarkStart w:id="338" w:name="_Toc1429184"/>
      <w:r>
        <w:rPr>
          <w:rFonts w:ascii="宋体" w:hAnsi="宋体" w:eastAsia="宋体" w:cs="宋体"/>
          <w:sz w:val="24"/>
          <w:szCs w:val="24"/>
        </w:rPr>
        <w:t>4.4</w:t>
      </w:r>
      <w:r>
        <w:rPr>
          <w:rFonts w:hint="eastAsia" w:ascii="宋体" w:hAnsi="宋体" w:eastAsia="宋体" w:cs="宋体"/>
          <w:sz w:val="24"/>
          <w:szCs w:val="24"/>
        </w:rPr>
        <w:t>其他延伸服务</w:t>
      </w:r>
      <w:bookmarkEnd w:id="338"/>
    </w:p>
    <w:p>
      <w:pPr>
        <w:tabs>
          <w:tab w:val="left" w:pos="1428"/>
        </w:tabs>
        <w:spacing w:line="360" w:lineRule="auto"/>
        <w:ind w:firstLine="482" w:firstLineChars="200"/>
        <w:rPr>
          <w:rFonts w:ascii="宋体"/>
        </w:rPr>
      </w:pPr>
      <w:r>
        <w:rPr>
          <w:rFonts w:ascii="宋体" w:hAnsi="宋体" w:cs="宋体"/>
          <w:b/>
          <w:bCs/>
        </w:rPr>
        <w:t>1</w:t>
      </w:r>
      <w:r>
        <w:rPr>
          <w:rFonts w:hint="eastAsia" w:ascii="宋体" w:hAnsi="宋体" w:cs="宋体"/>
          <w:b/>
          <w:bCs/>
        </w:rPr>
        <w:t>）</w:t>
      </w:r>
      <w:r>
        <w:rPr>
          <w:rFonts w:hint="eastAsia" w:ascii="宋体" w:hAnsi="宋体" w:cs="宋体"/>
        </w:rPr>
        <w:t>外包服务须根据采购人要求，对于采购人所举行的重要活动免费提供相应技术人员予以支持；</w:t>
      </w:r>
    </w:p>
    <w:p>
      <w:pPr>
        <w:tabs>
          <w:tab w:val="left" w:pos="1428"/>
        </w:tabs>
        <w:spacing w:line="360" w:lineRule="auto"/>
        <w:ind w:firstLine="482" w:firstLineChars="200"/>
        <w:rPr>
          <w:rFonts w:ascii="宋体"/>
        </w:rPr>
      </w:pPr>
      <w:r>
        <w:rPr>
          <w:rFonts w:ascii="宋体" w:hAnsi="宋体" w:cs="宋体"/>
          <w:b/>
          <w:bCs/>
        </w:rPr>
        <w:t>2</w:t>
      </w:r>
      <w:r>
        <w:rPr>
          <w:rFonts w:hint="eastAsia" w:ascii="宋体" w:hAnsi="宋体" w:cs="宋体"/>
          <w:b/>
          <w:bCs/>
        </w:rPr>
        <w:t>）</w:t>
      </w:r>
      <w:r>
        <w:rPr>
          <w:rFonts w:hint="eastAsia" w:ascii="宋体" w:hAnsi="宋体" w:cs="宋体"/>
        </w:rPr>
        <w:t>采购人现有多种数字化语音教学软件及多媒体教学软件、网络版杀毒软件、网络安全管理软件等教育软件应用，投标商中标后须学习并掌握上述软件的使用，并协助用户做好上述软件的基本维护和管理；</w:t>
      </w:r>
    </w:p>
    <w:p>
      <w:pPr>
        <w:tabs>
          <w:tab w:val="left" w:pos="1428"/>
        </w:tabs>
        <w:spacing w:line="360" w:lineRule="auto"/>
        <w:ind w:firstLine="482" w:firstLineChars="200"/>
        <w:rPr>
          <w:rFonts w:ascii="宋体"/>
        </w:rPr>
      </w:pPr>
      <w:r>
        <w:rPr>
          <w:rFonts w:ascii="宋体" w:hAnsi="宋体" w:cs="宋体"/>
          <w:b/>
          <w:bCs/>
        </w:rPr>
        <w:t>3</w:t>
      </w:r>
      <w:r>
        <w:rPr>
          <w:rFonts w:hint="eastAsia" w:ascii="宋体" w:hAnsi="宋体" w:cs="宋体"/>
          <w:b/>
          <w:bCs/>
        </w:rPr>
        <w:t>）</w:t>
      </w:r>
      <w:r>
        <w:rPr>
          <w:rFonts w:hint="eastAsia" w:ascii="宋体" w:hAnsi="宋体" w:cs="宋体"/>
        </w:rPr>
        <w:t>外包服务须在合同签订后</w:t>
      </w:r>
      <w:r>
        <w:rPr>
          <w:rFonts w:ascii="宋体" w:hAnsi="宋体" w:cs="宋体"/>
        </w:rPr>
        <w:t>2</w:t>
      </w:r>
      <w:r>
        <w:rPr>
          <w:rFonts w:hint="eastAsia" w:ascii="宋体" w:hAnsi="宋体" w:cs="宋体"/>
        </w:rPr>
        <w:t>个月内将各校所有电脑及教学设备进行排查并制作详细的设备清单；</w:t>
      </w:r>
    </w:p>
    <w:p>
      <w:pPr>
        <w:tabs>
          <w:tab w:val="left" w:pos="1428"/>
        </w:tabs>
        <w:spacing w:line="360" w:lineRule="auto"/>
        <w:ind w:firstLine="482" w:firstLineChars="200"/>
        <w:rPr>
          <w:rFonts w:ascii="宋体"/>
        </w:rPr>
      </w:pPr>
      <w:r>
        <w:rPr>
          <w:rFonts w:ascii="宋体" w:hAnsi="宋体" w:cs="宋体"/>
          <w:b/>
          <w:bCs/>
        </w:rPr>
        <w:t>4</w:t>
      </w:r>
      <w:r>
        <w:rPr>
          <w:rFonts w:hint="eastAsia" w:ascii="宋体" w:hAnsi="宋体" w:cs="宋体"/>
          <w:b/>
          <w:bCs/>
        </w:rPr>
        <w:t>）</w:t>
      </w:r>
      <w:r>
        <w:rPr>
          <w:rFonts w:hint="eastAsia" w:ascii="宋体" w:hAnsi="宋体" w:cs="宋体"/>
        </w:rPr>
        <w:t>外包服务须在服务期内对所有维护情况及设备使用情况进行统计和归档，并按时上报周报表及月报表；</w:t>
      </w:r>
    </w:p>
    <w:p>
      <w:pPr>
        <w:tabs>
          <w:tab w:val="left" w:pos="1428"/>
        </w:tabs>
        <w:spacing w:line="360" w:lineRule="auto"/>
        <w:ind w:firstLine="482" w:firstLineChars="200"/>
        <w:rPr>
          <w:rFonts w:ascii="宋体"/>
        </w:rPr>
      </w:pPr>
      <w:r>
        <w:rPr>
          <w:rFonts w:ascii="宋体" w:hAnsi="宋体" w:cs="宋体"/>
          <w:b/>
          <w:bCs/>
        </w:rPr>
        <w:t>5</w:t>
      </w:r>
      <w:r>
        <w:rPr>
          <w:rFonts w:hint="eastAsia" w:ascii="宋体" w:hAnsi="宋体" w:cs="宋体"/>
          <w:b/>
          <w:bCs/>
        </w:rPr>
        <w:t>）</w:t>
      </w:r>
      <w:r>
        <w:rPr>
          <w:rFonts w:hint="eastAsia" w:ascii="宋体" w:hAnsi="宋体" w:cs="宋体"/>
        </w:rPr>
        <w:t>外包服务在维护过程中需对所有使用的软件及系统、针对各个机型所制作的系统及工具光盘进行归档，并每周上报档案建立情况；</w:t>
      </w:r>
    </w:p>
    <w:p>
      <w:pPr>
        <w:pStyle w:val="3"/>
        <w:numPr>
          <w:ilvl w:val="0"/>
          <w:numId w:val="0"/>
        </w:numPr>
        <w:spacing w:line="360" w:lineRule="auto"/>
        <w:rPr>
          <w:rFonts w:ascii="宋体" w:hAnsi="宋体" w:eastAsia="宋体" w:cs="Times New Roman"/>
          <w:sz w:val="24"/>
          <w:szCs w:val="24"/>
        </w:rPr>
      </w:pPr>
      <w:bookmarkStart w:id="339" w:name="_Toc1429185"/>
      <w:r>
        <w:rPr>
          <w:rFonts w:ascii="宋体" w:hAnsi="宋体" w:eastAsia="宋体" w:cs="宋体"/>
          <w:sz w:val="24"/>
          <w:szCs w:val="24"/>
        </w:rPr>
        <w:t>4.5</w:t>
      </w:r>
      <w:r>
        <w:rPr>
          <w:rFonts w:hint="eastAsia" w:ascii="宋体" w:hAnsi="宋体" w:eastAsia="宋体" w:cs="宋体"/>
          <w:sz w:val="24"/>
          <w:szCs w:val="24"/>
        </w:rPr>
        <w:t>其他要求：</w:t>
      </w:r>
      <w:bookmarkEnd w:id="339"/>
    </w:p>
    <w:p>
      <w:pPr>
        <w:tabs>
          <w:tab w:val="left" w:pos="1428"/>
        </w:tabs>
        <w:spacing w:line="360" w:lineRule="auto"/>
        <w:ind w:firstLine="480" w:firstLineChars="200"/>
        <w:rPr>
          <w:rFonts w:ascii="宋体"/>
        </w:rPr>
      </w:pPr>
      <w:r>
        <w:rPr>
          <w:rFonts w:ascii="宋体" w:hAnsi="宋体" w:cs="宋体"/>
        </w:rPr>
        <w:t>1</w:t>
      </w:r>
      <w:r>
        <w:rPr>
          <w:rFonts w:hint="eastAsia" w:ascii="宋体" w:hAnsi="宋体" w:cs="宋体"/>
        </w:rPr>
        <w:t>）外包服务商需在标书中对于所提供的技术人员出勤作息管理、技术人员行为规范管理、报修流程管理、外包服务方案等具体的规章制度或方案做详细阐述；</w:t>
      </w:r>
    </w:p>
    <w:p>
      <w:pPr>
        <w:tabs>
          <w:tab w:val="left" w:pos="1428"/>
        </w:tabs>
        <w:spacing w:line="360" w:lineRule="auto"/>
        <w:ind w:firstLine="480" w:firstLineChars="200"/>
        <w:rPr>
          <w:rFonts w:ascii="宋体"/>
        </w:rPr>
      </w:pPr>
      <w:r>
        <w:rPr>
          <w:rFonts w:ascii="宋体" w:hAnsi="宋体" w:cs="宋体"/>
        </w:rPr>
        <w:t>2</w:t>
      </w:r>
      <w:r>
        <w:rPr>
          <w:rFonts w:hint="eastAsia" w:ascii="宋体" w:hAnsi="宋体" w:cs="宋体"/>
        </w:rPr>
        <w:t>）外包服务商需具有以往外包服务项目的经验，并在标书中阐明其对外包服务的认识及历年来外包服务情况报告；</w:t>
      </w:r>
    </w:p>
    <w:p>
      <w:pPr>
        <w:tabs>
          <w:tab w:val="left" w:pos="1428"/>
        </w:tabs>
        <w:spacing w:line="360" w:lineRule="auto"/>
        <w:ind w:firstLine="480" w:firstLineChars="200"/>
        <w:rPr>
          <w:rFonts w:ascii="宋体"/>
        </w:rPr>
      </w:pPr>
      <w:r>
        <w:rPr>
          <w:rFonts w:ascii="宋体" w:hAnsi="宋体" w:cs="宋体"/>
        </w:rPr>
        <w:t>3</w:t>
      </w:r>
      <w:r>
        <w:rPr>
          <w:rFonts w:hint="eastAsia" w:ascii="宋体" w:hAnsi="宋体" w:cs="宋体"/>
        </w:rPr>
        <w:t>）外包服务商需对服务外包进行详细记录统计，并按照招标人要求将各种统计分析数据免费提供给招标人；</w:t>
      </w:r>
    </w:p>
    <w:p>
      <w:pPr>
        <w:pStyle w:val="2"/>
        <w:numPr>
          <w:ilvl w:val="0"/>
          <w:numId w:val="0"/>
        </w:numPr>
        <w:snapToGrid w:val="0"/>
        <w:spacing w:line="360" w:lineRule="auto"/>
        <w:rPr>
          <w:rFonts w:ascii="宋体"/>
          <w:sz w:val="24"/>
          <w:szCs w:val="24"/>
        </w:rPr>
      </w:pPr>
      <w:bookmarkStart w:id="340" w:name="_Toc1429186"/>
      <w:r>
        <w:rPr>
          <w:rFonts w:ascii="宋体" w:hAnsi="宋体" w:cs="宋体"/>
          <w:sz w:val="24"/>
          <w:szCs w:val="24"/>
        </w:rPr>
        <w:t>5</w:t>
      </w:r>
      <w:r>
        <w:rPr>
          <w:rFonts w:hint="eastAsia" w:ascii="宋体" w:hAnsi="宋体" w:cs="宋体"/>
          <w:sz w:val="24"/>
          <w:szCs w:val="24"/>
        </w:rPr>
        <w:t>投标人技术文件应答要求</w:t>
      </w:r>
      <w:bookmarkEnd w:id="330"/>
      <w:bookmarkEnd w:id="331"/>
      <w:bookmarkEnd w:id="332"/>
      <w:bookmarkEnd w:id="333"/>
      <w:bookmarkEnd w:id="334"/>
      <w:bookmarkEnd w:id="335"/>
      <w:bookmarkEnd w:id="340"/>
    </w:p>
    <w:p>
      <w:pPr>
        <w:snapToGrid w:val="0"/>
        <w:spacing w:line="360" w:lineRule="auto"/>
        <w:ind w:firstLine="480" w:firstLineChars="200"/>
        <w:rPr>
          <w:rFonts w:ascii="宋体"/>
        </w:rPr>
      </w:pPr>
      <w:r>
        <w:rPr>
          <w:rFonts w:hint="eastAsia" w:ascii="宋体" w:hAnsi="宋体" w:cs="宋体"/>
        </w:rPr>
        <w:t>投标人应根据项目内容和采购人要求制作投标方案书。投标方案书应包括并不限于如下内容：组织模式、制度规范、资产、知识产权、人员、分包、协调沟通、服务规划、服务策划与建设以及安全管理等内容。</w:t>
      </w:r>
    </w:p>
    <w:p>
      <w:pPr>
        <w:pStyle w:val="3"/>
        <w:numPr>
          <w:ilvl w:val="0"/>
          <w:numId w:val="0"/>
        </w:numPr>
        <w:snapToGrid w:val="0"/>
        <w:spacing w:line="360" w:lineRule="auto"/>
        <w:rPr>
          <w:rFonts w:ascii="宋体" w:hAnsi="宋体" w:eastAsia="宋体" w:cs="Times New Roman"/>
          <w:sz w:val="24"/>
          <w:szCs w:val="24"/>
        </w:rPr>
      </w:pPr>
      <w:bookmarkStart w:id="341" w:name="_Toc332370216"/>
      <w:bookmarkStart w:id="342" w:name="_Toc332870464"/>
      <w:bookmarkStart w:id="343" w:name="_Toc323818664"/>
      <w:bookmarkStart w:id="344" w:name="_Toc1086"/>
      <w:bookmarkStart w:id="345" w:name="_Toc1429187"/>
      <w:r>
        <w:rPr>
          <w:rFonts w:ascii="宋体" w:hAnsi="宋体" w:eastAsia="宋体" w:cs="宋体"/>
          <w:sz w:val="24"/>
          <w:szCs w:val="24"/>
        </w:rPr>
        <w:t>5.1</w:t>
      </w:r>
      <w:r>
        <w:rPr>
          <w:rFonts w:hint="eastAsia" w:ascii="宋体" w:hAnsi="宋体" w:eastAsia="宋体" w:cs="宋体"/>
          <w:sz w:val="24"/>
          <w:szCs w:val="24"/>
        </w:rPr>
        <w:t>项目管理保障方案</w:t>
      </w:r>
      <w:bookmarkEnd w:id="341"/>
      <w:bookmarkEnd w:id="342"/>
      <w:bookmarkEnd w:id="343"/>
      <w:bookmarkEnd w:id="344"/>
      <w:bookmarkEnd w:id="345"/>
    </w:p>
    <w:p>
      <w:pPr>
        <w:snapToGrid w:val="0"/>
        <w:spacing w:line="360" w:lineRule="auto"/>
        <w:ind w:firstLine="480" w:firstLineChars="200"/>
        <w:rPr>
          <w:rFonts w:ascii="宋体"/>
        </w:rPr>
      </w:pPr>
      <w:r>
        <w:rPr>
          <w:rFonts w:hint="eastAsia" w:ascii="宋体" w:hAnsi="宋体" w:cs="宋体"/>
        </w:rPr>
        <w:t>本项目具有涉及面广、工作层面多、创新性强等特点，需要有长效保障机制，投标企业应设计完整的项目管理保障方案，方案应包括（并不限于）的内容：组织模式、制度规范、资金保障、预算执行、资产、知识产权、人员、分包、协调沟通以及安全管理等内容。</w:t>
      </w:r>
    </w:p>
    <w:p>
      <w:pPr>
        <w:pStyle w:val="3"/>
        <w:numPr>
          <w:ilvl w:val="0"/>
          <w:numId w:val="0"/>
        </w:numPr>
        <w:snapToGrid w:val="0"/>
        <w:spacing w:line="360" w:lineRule="auto"/>
        <w:rPr>
          <w:rFonts w:ascii="宋体" w:hAnsi="宋体" w:eastAsia="宋体" w:cs="Times New Roman"/>
          <w:sz w:val="24"/>
          <w:szCs w:val="24"/>
        </w:rPr>
      </w:pPr>
      <w:bookmarkStart w:id="346" w:name="_Toc1429188"/>
      <w:bookmarkStart w:id="347" w:name="_Toc7265"/>
      <w:bookmarkStart w:id="348" w:name="_Toc332870465"/>
      <w:bookmarkStart w:id="349" w:name="_Toc332370217"/>
      <w:bookmarkStart w:id="350" w:name="_Toc323818665"/>
      <w:r>
        <w:rPr>
          <w:rFonts w:ascii="宋体" w:hAnsi="宋体" w:eastAsia="宋体" w:cs="宋体"/>
          <w:sz w:val="24"/>
          <w:szCs w:val="24"/>
        </w:rPr>
        <w:t>5.2</w:t>
      </w:r>
      <w:bookmarkStart w:id="351" w:name="_Toc292392767"/>
      <w:r>
        <w:rPr>
          <w:rFonts w:hint="eastAsia" w:ascii="宋体" w:hAnsi="宋体" w:eastAsia="宋体" w:cs="宋体"/>
          <w:sz w:val="24"/>
          <w:szCs w:val="24"/>
        </w:rPr>
        <w:t>年度运维方案</w:t>
      </w:r>
      <w:bookmarkEnd w:id="346"/>
      <w:bookmarkEnd w:id="347"/>
      <w:bookmarkEnd w:id="348"/>
      <w:bookmarkEnd w:id="349"/>
      <w:bookmarkEnd w:id="350"/>
      <w:bookmarkEnd w:id="351"/>
    </w:p>
    <w:p>
      <w:pPr>
        <w:snapToGrid w:val="0"/>
        <w:spacing w:line="360" w:lineRule="auto"/>
        <w:ind w:firstLine="570"/>
        <w:rPr>
          <w:rFonts w:ascii="宋体"/>
        </w:rPr>
      </w:pPr>
      <w:r>
        <w:rPr>
          <w:rFonts w:hint="eastAsia" w:ascii="宋体" w:hAnsi="宋体" w:cs="宋体"/>
        </w:rPr>
        <w:t>运维质量是甘肃警察职业学院校园信息化发展的生命力，甘肃警察职业学院校园信息化处于运维期，投标企业应设计合理的校园信息化运维和持续改进方案，以保证校园信息化服务质量。运维方案应包括并不限于如下内容：</w:t>
      </w:r>
    </w:p>
    <w:p>
      <w:pPr>
        <w:snapToGrid w:val="0"/>
        <w:spacing w:line="360" w:lineRule="auto"/>
        <w:ind w:firstLine="480" w:firstLineChars="200"/>
        <w:rPr>
          <w:rFonts w:ascii="宋体"/>
        </w:rPr>
      </w:pPr>
      <w:r>
        <w:rPr>
          <w:rFonts w:ascii="宋体" w:hAnsi="宋体" w:cs="宋体"/>
        </w:rPr>
        <w:t>1</w:t>
      </w:r>
      <w:r>
        <w:rPr>
          <w:rFonts w:hint="eastAsia" w:ascii="宋体" w:hAnsi="宋体" w:cs="宋体"/>
        </w:rPr>
        <w:t>）</w:t>
      </w:r>
      <w:r>
        <w:rPr>
          <w:rFonts w:ascii="宋体" w:hAnsi="宋体" w:cs="宋体"/>
        </w:rPr>
        <w:t>2019</w:t>
      </w:r>
      <w:r>
        <w:rPr>
          <w:rFonts w:hint="eastAsia" w:ascii="宋体" w:hAnsi="宋体" w:cs="宋体"/>
        </w:rPr>
        <w:t>年工作计划。依据已有规划，结合业务创新需求和技术发展趋势，提出本年度工作重点、工作计划和工作目标。</w:t>
      </w:r>
    </w:p>
    <w:p>
      <w:pPr>
        <w:snapToGrid w:val="0"/>
        <w:spacing w:line="360" w:lineRule="auto"/>
        <w:ind w:firstLine="480" w:firstLineChars="200"/>
        <w:rPr>
          <w:rFonts w:ascii="宋体"/>
        </w:rPr>
      </w:pPr>
      <w:r>
        <w:rPr>
          <w:rFonts w:ascii="宋体" w:hAnsi="宋体" w:cs="宋体"/>
        </w:rPr>
        <w:t>2</w:t>
      </w:r>
      <w:r>
        <w:rPr>
          <w:rFonts w:hint="eastAsia" w:ascii="宋体" w:hAnsi="宋体" w:cs="宋体"/>
        </w:rPr>
        <w:t>）</w:t>
      </w:r>
      <w:r>
        <w:rPr>
          <w:rFonts w:ascii="宋体" w:hAnsi="宋体" w:cs="宋体"/>
        </w:rPr>
        <w:t>2019</w:t>
      </w:r>
      <w:r>
        <w:rPr>
          <w:rFonts w:hint="eastAsia" w:ascii="宋体" w:hAnsi="宋体" w:cs="宋体"/>
        </w:rPr>
        <w:t>年运维保障方案。提供企业能够提供的服务资源目录和详细可行的资源调度流程，包括系统运维、技术开发管理、软硬件系统支持等方案。针对各项运维指标予以答复，提出完成指标的方法、手段。</w:t>
      </w:r>
    </w:p>
    <w:p>
      <w:pPr>
        <w:snapToGrid w:val="0"/>
        <w:spacing w:line="360" w:lineRule="auto"/>
        <w:ind w:firstLine="480" w:firstLineChars="200"/>
        <w:rPr>
          <w:rFonts w:ascii="宋体"/>
        </w:rPr>
      </w:pPr>
      <w:r>
        <w:rPr>
          <w:rFonts w:ascii="宋体" w:hAnsi="宋体" w:cs="宋体"/>
        </w:rPr>
        <w:t>3</w:t>
      </w:r>
      <w:r>
        <w:rPr>
          <w:rFonts w:hint="eastAsia" w:ascii="宋体" w:hAnsi="宋体" w:cs="宋体"/>
        </w:rPr>
        <w:t>）校园信息化服务优化方案。提出如何利用技术手段不断优化甘肃警察职业学院服务使用。</w:t>
      </w:r>
    </w:p>
    <w:p>
      <w:pPr>
        <w:snapToGrid w:val="0"/>
        <w:spacing w:line="360" w:lineRule="auto"/>
        <w:ind w:firstLine="480" w:firstLineChars="200"/>
        <w:rPr>
          <w:rFonts w:ascii="宋体"/>
        </w:rPr>
      </w:pPr>
      <w:r>
        <w:rPr>
          <w:rFonts w:ascii="宋体" w:hAnsi="宋体" w:cs="宋体"/>
        </w:rPr>
        <w:t>4</w:t>
      </w:r>
      <w:r>
        <w:rPr>
          <w:rFonts w:hint="eastAsia" w:ascii="宋体" w:hAnsi="宋体" w:cs="宋体"/>
        </w:rPr>
        <w:t>）招标文件各章节中要求投标企业制定的相关流程、制度等（需认真熟悉理解招标文件内容）。</w:t>
      </w:r>
    </w:p>
    <w:p>
      <w:pPr>
        <w:pStyle w:val="3"/>
        <w:numPr>
          <w:ilvl w:val="0"/>
          <w:numId w:val="0"/>
        </w:numPr>
        <w:snapToGrid w:val="0"/>
        <w:spacing w:line="360" w:lineRule="auto"/>
        <w:rPr>
          <w:rFonts w:ascii="宋体" w:hAnsi="宋体" w:eastAsia="宋体" w:cs="Times New Roman"/>
          <w:sz w:val="24"/>
          <w:szCs w:val="24"/>
        </w:rPr>
      </w:pPr>
      <w:bookmarkStart w:id="352" w:name="_Toc1429189"/>
      <w:bookmarkStart w:id="353" w:name="_Toc2530"/>
      <w:bookmarkStart w:id="354" w:name="_Toc332870466"/>
      <w:bookmarkStart w:id="355" w:name="_Toc323818666"/>
      <w:bookmarkStart w:id="356" w:name="_Toc332370218"/>
      <w:r>
        <w:rPr>
          <w:rFonts w:ascii="宋体" w:hAnsi="宋体" w:eastAsia="宋体" w:cs="宋体"/>
          <w:sz w:val="24"/>
          <w:szCs w:val="24"/>
        </w:rPr>
        <w:t>5.3</w:t>
      </w:r>
      <w:r>
        <w:rPr>
          <w:rFonts w:hint="eastAsia" w:ascii="宋体" w:hAnsi="宋体" w:eastAsia="宋体" w:cs="宋体"/>
          <w:sz w:val="24"/>
          <w:szCs w:val="24"/>
        </w:rPr>
        <w:t>运维人员工作内容与职责</w:t>
      </w:r>
      <w:bookmarkEnd w:id="352"/>
      <w:bookmarkEnd w:id="353"/>
      <w:bookmarkEnd w:id="354"/>
      <w:bookmarkEnd w:id="355"/>
      <w:bookmarkEnd w:id="356"/>
    </w:p>
    <w:p>
      <w:pPr>
        <w:snapToGrid w:val="0"/>
        <w:spacing w:before="120" w:line="360" w:lineRule="auto"/>
        <w:ind w:firstLine="480" w:firstLineChars="200"/>
        <w:rPr>
          <w:rFonts w:ascii="宋体"/>
        </w:rPr>
      </w:pPr>
      <w:r>
        <w:rPr>
          <w:rFonts w:hint="eastAsia" w:ascii="宋体" w:hAnsi="宋体" w:cs="宋体"/>
        </w:rPr>
        <w:t>提供运维团队的人员名单、岗位、资质、工作经验等。</w:t>
      </w:r>
    </w:p>
    <w:p>
      <w:pPr>
        <w:snapToGrid w:val="0"/>
        <w:spacing w:before="120" w:line="360" w:lineRule="auto"/>
        <w:ind w:firstLine="480" w:firstLineChars="200"/>
        <w:rPr>
          <w:rFonts w:ascii="宋体"/>
        </w:rPr>
      </w:pPr>
      <w:r>
        <w:rPr>
          <w:rFonts w:hint="eastAsia" w:ascii="宋体" w:hAnsi="宋体" w:cs="宋体"/>
        </w:rPr>
        <w:t>提供服务团队在企业组织结构中的位置、项目参与核心人员的名单及履历，以及企业可提供的企业已有服务资源、技术资源和详细可行的资源调度流程。</w:t>
      </w:r>
    </w:p>
    <w:p>
      <w:pPr>
        <w:pStyle w:val="3"/>
        <w:numPr>
          <w:ilvl w:val="0"/>
          <w:numId w:val="0"/>
        </w:numPr>
        <w:snapToGrid w:val="0"/>
        <w:spacing w:line="360" w:lineRule="auto"/>
        <w:rPr>
          <w:rFonts w:ascii="宋体" w:hAnsi="宋体" w:eastAsia="宋体" w:cs="Times New Roman"/>
          <w:sz w:val="24"/>
          <w:szCs w:val="24"/>
        </w:rPr>
      </w:pPr>
      <w:bookmarkStart w:id="357" w:name="_Toc1429190"/>
      <w:bookmarkStart w:id="358" w:name="_Toc23695"/>
      <w:bookmarkStart w:id="359" w:name="_Toc332370219"/>
      <w:bookmarkStart w:id="360" w:name="_Toc323818667"/>
      <w:bookmarkStart w:id="361" w:name="_Toc332870467"/>
      <w:r>
        <w:rPr>
          <w:rFonts w:ascii="宋体" w:hAnsi="宋体" w:eastAsia="宋体" w:cs="宋体"/>
          <w:sz w:val="24"/>
          <w:szCs w:val="24"/>
        </w:rPr>
        <w:t>5.4</w:t>
      </w:r>
      <w:r>
        <w:rPr>
          <w:rFonts w:hint="eastAsia" w:ascii="宋体" w:hAnsi="宋体" w:eastAsia="宋体" w:cs="宋体"/>
          <w:sz w:val="24"/>
          <w:szCs w:val="24"/>
        </w:rPr>
        <w:t>迁移方案</w:t>
      </w:r>
      <w:bookmarkEnd w:id="357"/>
      <w:bookmarkEnd w:id="358"/>
      <w:bookmarkEnd w:id="359"/>
      <w:bookmarkEnd w:id="360"/>
      <w:bookmarkEnd w:id="361"/>
    </w:p>
    <w:p>
      <w:pPr>
        <w:snapToGrid w:val="0"/>
        <w:spacing w:before="120" w:line="360" w:lineRule="auto"/>
        <w:ind w:firstLine="480" w:firstLineChars="200"/>
        <w:rPr>
          <w:rFonts w:ascii="宋体"/>
        </w:rPr>
      </w:pPr>
      <w:r>
        <w:rPr>
          <w:rFonts w:hint="eastAsia" w:ascii="宋体" w:hAnsi="宋体" w:cs="宋体"/>
        </w:rPr>
        <w:t>提出实现对现有各种资源（包括硬件设备、应用软件、网络环境、数据文档、信息资源、服务资源、相关制度文档等）进行全面、平稳迁移的完善可行方案，并确保核心人员随项目迁移。</w:t>
      </w:r>
    </w:p>
    <w:p>
      <w:pPr>
        <w:pStyle w:val="3"/>
        <w:numPr>
          <w:ilvl w:val="0"/>
          <w:numId w:val="0"/>
        </w:numPr>
        <w:snapToGrid w:val="0"/>
        <w:spacing w:line="360" w:lineRule="auto"/>
        <w:rPr>
          <w:rFonts w:ascii="宋体" w:hAnsi="宋体" w:eastAsia="宋体" w:cs="Times New Roman"/>
          <w:sz w:val="24"/>
          <w:szCs w:val="24"/>
        </w:rPr>
      </w:pPr>
      <w:bookmarkStart w:id="362" w:name="_Toc1429191"/>
      <w:bookmarkStart w:id="363" w:name="_Toc332370220"/>
      <w:bookmarkStart w:id="364" w:name="_Toc7206"/>
      <w:bookmarkStart w:id="365" w:name="_Toc332870468"/>
      <w:bookmarkStart w:id="366" w:name="_Toc323818668"/>
      <w:r>
        <w:rPr>
          <w:rFonts w:ascii="宋体" w:hAnsi="宋体" w:eastAsia="宋体" w:cs="宋体"/>
          <w:sz w:val="24"/>
          <w:szCs w:val="24"/>
        </w:rPr>
        <w:t>5.5</w:t>
      </w:r>
      <w:r>
        <w:rPr>
          <w:rFonts w:hint="eastAsia" w:ascii="宋体" w:hAnsi="宋体" w:eastAsia="宋体" w:cs="宋体"/>
          <w:sz w:val="24"/>
          <w:szCs w:val="24"/>
        </w:rPr>
        <w:t>服务承诺</w:t>
      </w:r>
      <w:bookmarkEnd w:id="362"/>
      <w:bookmarkEnd w:id="363"/>
      <w:bookmarkEnd w:id="364"/>
      <w:bookmarkEnd w:id="365"/>
      <w:bookmarkEnd w:id="366"/>
    </w:p>
    <w:p>
      <w:pPr>
        <w:snapToGrid w:val="0"/>
        <w:spacing w:line="360" w:lineRule="auto"/>
        <w:ind w:firstLine="570"/>
        <w:rPr>
          <w:rFonts w:ascii="宋体"/>
        </w:rPr>
      </w:pPr>
      <w:r>
        <w:rPr>
          <w:rFonts w:hint="eastAsia" w:ascii="宋体" w:hAnsi="宋体" w:cs="宋体"/>
        </w:rPr>
        <w:t>针对甘肃警察职业学院运行维护项目</w:t>
      </w:r>
      <w:bookmarkStart w:id="367" w:name="OLE_LINK1"/>
      <w:r>
        <w:rPr>
          <w:rFonts w:hint="eastAsia" w:ascii="宋体" w:hAnsi="宋体" w:cs="宋体"/>
        </w:rPr>
        <w:t>，投标人承诺成立专门的服务小组，提供驻场业务、技术及相关服务支持工作。具体驻场人数及要求，根据项目实际需求和管理中心要求确定。</w:t>
      </w:r>
      <w:bookmarkEnd w:id="367"/>
      <w:r>
        <w:rPr>
          <w:rFonts w:hint="eastAsia" w:ascii="宋体" w:hAnsi="宋体" w:cs="宋体"/>
        </w:rPr>
        <w:t>对关键的业务系统，提供</w:t>
      </w:r>
      <w:r>
        <w:rPr>
          <w:rFonts w:ascii="宋体" w:hAnsi="宋体" w:cs="宋体"/>
        </w:rPr>
        <w:t>5*8</w:t>
      </w:r>
      <w:r>
        <w:rPr>
          <w:rFonts w:hint="eastAsia" w:ascii="宋体" w:hAnsi="宋体" w:cs="宋体"/>
        </w:rPr>
        <w:t>小时的现场服务，确保系统关键部位</w:t>
      </w:r>
      <w:r>
        <w:rPr>
          <w:rFonts w:ascii="宋体" w:hAnsi="宋体" w:cs="宋体"/>
        </w:rPr>
        <w:t>7*24</w:t>
      </w:r>
      <w:r>
        <w:rPr>
          <w:rFonts w:hint="eastAsia" w:ascii="宋体" w:hAnsi="宋体" w:cs="宋体"/>
        </w:rPr>
        <w:t>处于运行状态，任何情况下严格按照有关领导的指示完成各项任务。此外，在如下方面进行承诺：</w:t>
      </w:r>
    </w:p>
    <w:p>
      <w:pPr>
        <w:snapToGrid w:val="0"/>
        <w:spacing w:line="360" w:lineRule="auto"/>
        <w:ind w:firstLine="480" w:firstLineChars="200"/>
        <w:rPr>
          <w:rFonts w:ascii="宋体"/>
        </w:rPr>
      </w:pPr>
      <w:r>
        <w:rPr>
          <w:rFonts w:ascii="宋体" w:hAnsi="宋体" w:cs="宋体"/>
        </w:rPr>
        <w:t>1</w:t>
      </w:r>
      <w:r>
        <w:rPr>
          <w:rFonts w:hint="eastAsia" w:ascii="宋体" w:hAnsi="宋体" w:cs="宋体"/>
        </w:rPr>
        <w:t>）与相关的产品供应商、子系统承建公司等相关单位，处理、协调、落实保修期内产品维修等相关事宜；</w:t>
      </w:r>
    </w:p>
    <w:p>
      <w:pPr>
        <w:snapToGrid w:val="0"/>
        <w:spacing w:line="360" w:lineRule="auto"/>
        <w:ind w:firstLine="480" w:firstLineChars="200"/>
        <w:rPr>
          <w:rFonts w:ascii="宋体"/>
        </w:rPr>
      </w:pPr>
      <w:r>
        <w:rPr>
          <w:rFonts w:ascii="宋体" w:hAnsi="宋体" w:cs="宋体"/>
        </w:rPr>
        <w:t>2</w:t>
      </w:r>
      <w:r>
        <w:rPr>
          <w:rFonts w:hint="eastAsia" w:ascii="宋体" w:hAnsi="宋体" w:cs="宋体"/>
        </w:rPr>
        <w:t>）信息技术服务小组驻采购人办公，必须遵守采购人办公时间，提供</w:t>
      </w:r>
      <w:r>
        <w:rPr>
          <w:rFonts w:ascii="宋体" w:hAnsi="宋体" w:cs="宋体"/>
        </w:rPr>
        <w:t>5*8</w:t>
      </w:r>
      <w:r>
        <w:rPr>
          <w:rFonts w:hint="eastAsia" w:ascii="宋体" w:hAnsi="宋体" w:cs="宋体"/>
        </w:rPr>
        <w:t>小时技术服务，节假日应于上班前一天对各系统进行检查。对于不间断运行的信息系统需要提供</w:t>
      </w:r>
      <w:r>
        <w:rPr>
          <w:rFonts w:ascii="宋体" w:hAnsi="宋体" w:cs="宋体"/>
        </w:rPr>
        <w:t>7*24</w:t>
      </w:r>
      <w:r>
        <w:rPr>
          <w:rFonts w:hint="eastAsia" w:ascii="宋体" w:hAnsi="宋体" w:cs="宋体"/>
        </w:rPr>
        <w:t>小时的技术服务；</w:t>
      </w:r>
    </w:p>
    <w:p>
      <w:pPr>
        <w:snapToGrid w:val="0"/>
        <w:spacing w:line="360" w:lineRule="auto"/>
        <w:ind w:firstLine="480" w:firstLineChars="200"/>
        <w:rPr>
          <w:rFonts w:ascii="宋体"/>
        </w:rPr>
      </w:pPr>
      <w:r>
        <w:rPr>
          <w:rFonts w:ascii="宋体" w:hAnsi="宋体" w:cs="宋体"/>
        </w:rPr>
        <w:t>3</w:t>
      </w:r>
      <w:r>
        <w:rPr>
          <w:rFonts w:hint="eastAsia" w:ascii="宋体" w:hAnsi="宋体" w:cs="宋体"/>
        </w:rPr>
        <w:t>）服务小组人员遇特殊情况需要更换的，报采购人批准后执行；</w:t>
      </w:r>
    </w:p>
    <w:p>
      <w:pPr>
        <w:snapToGrid w:val="0"/>
        <w:spacing w:line="360" w:lineRule="auto"/>
        <w:ind w:firstLine="480" w:firstLineChars="200"/>
        <w:rPr>
          <w:rFonts w:ascii="宋体"/>
        </w:rPr>
      </w:pPr>
      <w:r>
        <w:rPr>
          <w:rFonts w:ascii="宋体" w:hAnsi="宋体" w:cs="宋体"/>
        </w:rPr>
        <w:t>4</w:t>
      </w:r>
      <w:r>
        <w:rPr>
          <w:rFonts w:hint="eastAsia" w:ascii="宋体" w:hAnsi="宋体" w:cs="宋体"/>
        </w:rPr>
        <w:t>）服务小组必须服从采购人技术主管部门的各项管理。</w:t>
      </w:r>
    </w:p>
    <w:p>
      <w:pPr>
        <w:snapToGrid w:val="0"/>
        <w:spacing w:before="163" w:line="360" w:lineRule="auto"/>
        <w:ind w:firstLine="480" w:firstLineChars="200"/>
        <w:rPr>
          <w:rFonts w:ascii="宋体"/>
        </w:rPr>
      </w:pPr>
      <w:r>
        <w:rPr>
          <w:rFonts w:hint="eastAsia" w:ascii="宋体" w:hAnsi="宋体" w:cs="宋体"/>
        </w:rPr>
        <w:t>作为甘肃警察职业学院运维外包服务的中标方，</w:t>
      </w:r>
      <w:r>
        <w:rPr>
          <w:rFonts w:ascii="宋体" w:hAnsi="宋体" w:cs="宋体"/>
        </w:rPr>
        <w:t>XXXX</w:t>
      </w:r>
      <w:r>
        <w:rPr>
          <w:rFonts w:hint="eastAsia" w:ascii="宋体" w:hAnsi="宋体" w:cs="宋体"/>
        </w:rPr>
        <w:t>（中标人公司名称）承诺按照本《服务承诺》提供服务。</w:t>
      </w:r>
    </w:p>
    <w:p>
      <w:pPr>
        <w:spacing w:line="360" w:lineRule="auto"/>
        <w:ind w:firstLine="480" w:firstLineChars="200"/>
        <w:rPr>
          <w:rFonts w:ascii="宋体"/>
        </w:rPr>
      </w:pPr>
      <w:r>
        <w:rPr>
          <w:rFonts w:hint="eastAsia" w:ascii="宋体" w:hAnsi="宋体" w:cs="宋体"/>
        </w:rPr>
        <w:t>采购人可以按照本《服务承诺》对中标人的服务进行监督、检查、审计以及绩效考核。</w:t>
      </w:r>
    </w:p>
    <w:p>
      <w:pPr>
        <w:jc w:val="center"/>
        <w:textAlignment w:val="center"/>
      </w:pPr>
    </w:p>
    <w:sectPr>
      <w:headerReference r:id="rId10" w:type="default"/>
      <w:pgSz w:w="11906" w:h="16838"/>
      <w:pgMar w:top="1440" w:right="1797" w:bottom="1440" w:left="1797" w:header="851" w:footer="992" w:gutter="0"/>
      <w:pgNumType w:start="46"/>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Lucida Grande">
    <w:altName w:val="Courier New"/>
    <w:panose1 w:val="00000000000000000000"/>
    <w:charset w:val="00"/>
    <w:family w:val="auto"/>
    <w:pitch w:val="default"/>
    <w:sig w:usb0="00000000" w:usb1="00000000" w:usb2="00000000" w:usb3="00000000" w:csb0="00000001" w:csb1="00000000"/>
  </w:font>
  <w:font w:name="ヒラギノ角ゴ Pro W3">
    <w:altName w:val="MS Mincho"/>
    <w:panose1 w:val="00000000000000000000"/>
    <w:charset w:val="80"/>
    <w:family w:val="auto"/>
    <w:pitch w:val="default"/>
    <w:sig w:usb0="00000000" w:usb1="00000000" w:usb2="00000010" w:usb3="00000000" w:csb0="0002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Bold">
    <w:altName w:val="Arial"/>
    <w:panose1 w:val="020B0704020202020204"/>
    <w:charset w:val="00"/>
    <w:family w:val="auto"/>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MS Mincho">
    <w:panose1 w:val="020206090402050803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 PAGE   \* MERGEFORMAT </w:instrText>
    </w:r>
    <w:r>
      <w:fldChar w:fldCharType="separate"/>
    </w:r>
    <w:r>
      <w:rPr>
        <w:lang w:val="zh-CN"/>
      </w:rPr>
      <w:t>20</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 PAGE   \* MERGEFORMAT </w:instrText>
    </w:r>
    <w:r>
      <w:fldChar w:fldCharType="separate"/>
    </w:r>
    <w:r>
      <w:rPr>
        <w:lang w:val="zh-CN"/>
      </w:rPr>
      <w:t>43</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 PAGE   \* MERGEFORMAT </w:instrText>
    </w:r>
    <w:r>
      <w:fldChar w:fldCharType="separate"/>
    </w:r>
    <w:r>
      <w:rPr>
        <w:lang w:val="zh-CN"/>
      </w:rPr>
      <w:t>56</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top w:val="none" w:color="auto" w:sz="0" w:space="0"/>
        <w:left w:val="none" w:color="auto" w:sz="0" w:space="0"/>
        <w:bottom w:val="none" w:color="auto" w:sz="0" w:space="0"/>
        <w:right w:val="none" w:color="auto" w:sz="0" w:space="0"/>
      </w:pBdr>
      <w:jc w:val="right"/>
    </w:pPr>
    <w:r>
      <w:rPr>
        <w:rFonts w:hint="eastAsia" w:ascii="宋体" w:hAnsi="宋体" w:cs="宋体"/>
        <w:color w:val="000000"/>
      </w:rPr>
      <w:t>甘肃警察职业学院信息化运维服务外包项目</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top w:val="none" w:color="auto" w:sz="0" w:space="0"/>
        <w:left w:val="none" w:color="auto" w:sz="0" w:space="0"/>
        <w:bottom w:val="none" w:color="auto" w:sz="0" w:space="0"/>
        <w:right w:val="none" w:color="auto" w:sz="0" w:space="0"/>
      </w:pBdr>
      <w:jc w:val="right"/>
    </w:pPr>
    <w:r>
      <w:rPr>
        <w:rFonts w:hint="eastAsia" w:ascii="宋体" w:hAnsi="宋体" w:cs="宋体"/>
        <w:color w:val="000000"/>
      </w:rPr>
      <w:t>甘肃警察职业学院信息化运维服务外包项目</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top w:val="none" w:color="auto" w:sz="0" w:space="0"/>
        <w:left w:val="none" w:color="auto" w:sz="0" w:space="0"/>
        <w:bottom w:val="none" w:color="auto" w:sz="0" w:space="0"/>
        <w:right w:val="none" w:color="auto" w:sz="0" w:space="0"/>
      </w:pBdr>
      <w:jc w:val="right"/>
    </w:pPr>
    <w:r>
      <w:rPr>
        <w:rFonts w:hint="eastAsia" w:ascii="宋体" w:hAnsi="宋体" w:cs="宋体"/>
        <w:color w:val="000000"/>
      </w:rPr>
      <w:t>甘肃警察职业学院信息化运维服务外包项目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707562"/>
    <w:multiLevelType w:val="singleLevel"/>
    <w:tmpl w:val="D7707562"/>
    <w:lvl w:ilvl="0" w:tentative="0">
      <w:start w:val="4"/>
      <w:numFmt w:val="decimal"/>
      <w:suff w:val="nothing"/>
      <w:lvlText w:val="%1）"/>
      <w:lvlJc w:val="left"/>
    </w:lvl>
  </w:abstractNum>
  <w:abstractNum w:abstractNumId="1">
    <w:nsid w:val="00000006"/>
    <w:multiLevelType w:val="multilevel"/>
    <w:tmpl w:val="00000006"/>
    <w:lvl w:ilvl="0" w:tentative="0">
      <w:start w:val="1"/>
      <w:numFmt w:val="decimal"/>
      <w:lvlText w:val="（%1）"/>
      <w:lvlJc w:val="left"/>
      <w:pPr>
        <w:tabs>
          <w:tab w:val="left" w:pos="1440"/>
        </w:tabs>
        <w:ind w:left="1440" w:hanging="720"/>
      </w:pPr>
      <w:rPr>
        <w:rFonts w:hint="eastAsia"/>
      </w:rPr>
    </w:lvl>
    <w:lvl w:ilvl="1" w:tentative="0">
      <w:start w:val="1"/>
      <w:numFmt w:val="lowerLetter"/>
      <w:lvlText w:val="%2)"/>
      <w:lvlJc w:val="left"/>
      <w:pPr>
        <w:tabs>
          <w:tab w:val="left" w:pos="1560"/>
        </w:tabs>
        <w:ind w:left="1560" w:hanging="420"/>
      </w:pPr>
    </w:lvl>
    <w:lvl w:ilvl="2" w:tentative="0">
      <w:start w:val="1"/>
      <w:numFmt w:val="lowerRoman"/>
      <w:lvlText w:val="%3."/>
      <w:lvlJc w:val="right"/>
      <w:pPr>
        <w:tabs>
          <w:tab w:val="left" w:pos="1980"/>
        </w:tabs>
        <w:ind w:left="1980" w:hanging="420"/>
      </w:pPr>
    </w:lvl>
    <w:lvl w:ilvl="3" w:tentative="0">
      <w:start w:val="1"/>
      <w:numFmt w:val="decimal"/>
      <w:lvlText w:val="%4."/>
      <w:lvlJc w:val="left"/>
      <w:pPr>
        <w:tabs>
          <w:tab w:val="left" w:pos="2400"/>
        </w:tabs>
        <w:ind w:left="2400" w:hanging="420"/>
      </w:pPr>
    </w:lvl>
    <w:lvl w:ilvl="4" w:tentative="0">
      <w:start w:val="1"/>
      <w:numFmt w:val="lowerLetter"/>
      <w:lvlText w:val="%5)"/>
      <w:lvlJc w:val="left"/>
      <w:pPr>
        <w:tabs>
          <w:tab w:val="left" w:pos="2820"/>
        </w:tabs>
        <w:ind w:left="2820" w:hanging="420"/>
      </w:pPr>
    </w:lvl>
    <w:lvl w:ilvl="5" w:tentative="0">
      <w:start w:val="1"/>
      <w:numFmt w:val="lowerRoman"/>
      <w:lvlText w:val="%6."/>
      <w:lvlJc w:val="right"/>
      <w:pPr>
        <w:tabs>
          <w:tab w:val="left" w:pos="3240"/>
        </w:tabs>
        <w:ind w:left="3240" w:hanging="420"/>
      </w:pPr>
    </w:lvl>
    <w:lvl w:ilvl="6" w:tentative="0">
      <w:start w:val="1"/>
      <w:numFmt w:val="decimal"/>
      <w:lvlText w:val="%7."/>
      <w:lvlJc w:val="left"/>
      <w:pPr>
        <w:tabs>
          <w:tab w:val="left" w:pos="3660"/>
        </w:tabs>
        <w:ind w:left="3660" w:hanging="420"/>
      </w:pPr>
    </w:lvl>
    <w:lvl w:ilvl="7" w:tentative="0">
      <w:start w:val="1"/>
      <w:numFmt w:val="lowerLetter"/>
      <w:lvlText w:val="%8)"/>
      <w:lvlJc w:val="left"/>
      <w:pPr>
        <w:tabs>
          <w:tab w:val="left" w:pos="4080"/>
        </w:tabs>
        <w:ind w:left="4080" w:hanging="420"/>
      </w:pPr>
    </w:lvl>
    <w:lvl w:ilvl="8" w:tentative="0">
      <w:start w:val="1"/>
      <w:numFmt w:val="lowerRoman"/>
      <w:lvlText w:val="%9."/>
      <w:lvlJc w:val="right"/>
      <w:pPr>
        <w:tabs>
          <w:tab w:val="left" w:pos="4500"/>
        </w:tabs>
        <w:ind w:left="4500" w:hanging="420"/>
      </w:pPr>
    </w:lvl>
  </w:abstractNum>
  <w:abstractNum w:abstractNumId="2">
    <w:nsid w:val="0000000A"/>
    <w:multiLevelType w:val="multilevel"/>
    <w:tmpl w:val="0000000A"/>
    <w:lvl w:ilvl="0" w:tentative="0">
      <w:start w:val="1"/>
      <w:numFmt w:val="chineseCountingThousand"/>
      <w:lvlText w:val="第%1条"/>
      <w:lvlJc w:val="left"/>
      <w:pPr>
        <w:tabs>
          <w:tab w:val="left" w:pos="403"/>
        </w:tabs>
        <w:ind w:firstLine="400"/>
      </w:pPr>
      <w:rPr>
        <w:rFonts w:hint="default"/>
        <w:b/>
        <w:bCs/>
      </w:rPr>
    </w:lvl>
    <w:lvl w:ilvl="1" w:tentative="0">
      <w:start w:val="1"/>
      <w:numFmt w:val="decimal"/>
      <w:lvlText w:val="%2、"/>
      <w:lvlJc w:val="left"/>
      <w:pPr>
        <w:tabs>
          <w:tab w:val="left" w:pos="423"/>
        </w:tabs>
        <w:ind w:left="20" w:firstLine="400"/>
      </w:pPr>
      <w:rPr>
        <w:rFonts w:hint="default"/>
        <w:b w:val="0"/>
        <w:bCs w:val="0"/>
      </w:rPr>
    </w:lvl>
    <w:lvl w:ilvl="2" w:tentative="0">
      <w:start w:val="1"/>
      <w:numFmt w:val="decimal"/>
      <w:lvlText w:val="%3、"/>
      <w:lvlJc w:val="left"/>
      <w:pPr>
        <w:tabs>
          <w:tab w:val="left" w:pos="425"/>
        </w:tabs>
        <w:ind w:left="23" w:firstLine="397"/>
      </w:pPr>
      <w:rPr>
        <w:rFonts w:hint="default"/>
        <w:b w:val="0"/>
        <w:bCs w:val="0"/>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10"/>
    <w:multiLevelType w:val="multilevel"/>
    <w:tmpl w:val="00000010"/>
    <w:lvl w:ilvl="0" w:tentative="0">
      <w:start w:val="1"/>
      <w:numFmt w:val="chineseCountingThousand"/>
      <w:pStyle w:val="2"/>
      <w:suff w:val="nothing"/>
      <w:lvlText w:val="第%1部分"/>
      <w:lvlJc w:val="center"/>
      <w:pPr>
        <w:ind w:left="-146" w:firstLine="288"/>
      </w:pPr>
      <w:rPr>
        <w:rFonts w:hint="eastAsia"/>
        <w:sz w:val="28"/>
        <w:szCs w:val="28"/>
      </w:rPr>
    </w:lvl>
    <w:lvl w:ilvl="1" w:tentative="0">
      <w:start w:val="1"/>
      <w:numFmt w:val="chineseCountingThousand"/>
      <w:suff w:val="nothing"/>
      <w:lvlText w:val="%2、"/>
      <w:lvlJc w:val="left"/>
      <w:pPr>
        <w:ind w:left="94"/>
      </w:pPr>
      <w:rPr>
        <w:rFonts w:hint="eastAsia"/>
      </w:rPr>
    </w:lvl>
    <w:lvl w:ilvl="2" w:tentative="0">
      <w:start w:val="1"/>
      <w:numFmt w:val="chineseCountingThousand"/>
      <w:suff w:val="nothing"/>
      <w:lvlText w:val="(%3)"/>
      <w:lvlJc w:val="left"/>
      <w:pPr>
        <w:ind w:left="-146"/>
      </w:pPr>
      <w:rPr>
        <w:rFonts w:hint="eastAsia"/>
      </w:rPr>
    </w:lvl>
    <w:lvl w:ilvl="3" w:tentative="0">
      <w:start w:val="1"/>
      <w:numFmt w:val="decimal"/>
      <w:suff w:val="nothing"/>
      <w:lvlText w:val="%4、"/>
      <w:lvlJc w:val="left"/>
      <w:pPr>
        <w:ind w:left="-146"/>
      </w:pPr>
      <w:rPr>
        <w:rFonts w:hint="eastAsia"/>
      </w:rPr>
    </w:lvl>
    <w:lvl w:ilvl="4" w:tentative="0">
      <w:start w:val="1"/>
      <w:numFmt w:val="upperLetter"/>
      <w:suff w:val="nothing"/>
      <w:lvlText w:val="%5、"/>
      <w:lvlJc w:val="left"/>
      <w:pPr>
        <w:ind w:left="-146"/>
      </w:pPr>
      <w:rPr>
        <w:rFonts w:hint="eastAsia"/>
      </w:rPr>
    </w:lvl>
    <w:lvl w:ilvl="5" w:tentative="0">
      <w:start w:val="1"/>
      <w:numFmt w:val="none"/>
      <w:suff w:val="nothing"/>
      <w:lvlText w:val=""/>
      <w:lvlJc w:val="left"/>
      <w:pPr>
        <w:ind w:left="-146"/>
      </w:pPr>
      <w:rPr>
        <w:rFonts w:hint="eastAsia"/>
      </w:rPr>
    </w:lvl>
    <w:lvl w:ilvl="6" w:tentative="0">
      <w:start w:val="1"/>
      <w:numFmt w:val="none"/>
      <w:suff w:val="nothing"/>
      <w:lvlText w:val=""/>
      <w:lvlJc w:val="left"/>
      <w:pPr>
        <w:ind w:left="-146"/>
      </w:pPr>
      <w:rPr>
        <w:rFonts w:hint="eastAsia"/>
      </w:rPr>
    </w:lvl>
    <w:lvl w:ilvl="7" w:tentative="0">
      <w:start w:val="1"/>
      <w:numFmt w:val="none"/>
      <w:suff w:val="nothing"/>
      <w:lvlText w:val=""/>
      <w:lvlJc w:val="left"/>
      <w:pPr>
        <w:ind w:left="-146"/>
      </w:pPr>
      <w:rPr>
        <w:rFonts w:hint="eastAsia"/>
      </w:rPr>
    </w:lvl>
    <w:lvl w:ilvl="8" w:tentative="0">
      <w:start w:val="1"/>
      <w:numFmt w:val="none"/>
      <w:suff w:val="nothing"/>
      <w:lvlText w:val=""/>
      <w:lvlJc w:val="left"/>
      <w:pPr>
        <w:ind w:left="-146"/>
      </w:pPr>
      <w:rPr>
        <w:rFonts w:hint="eastAsia"/>
      </w:rPr>
    </w:lvl>
  </w:abstractNum>
  <w:abstractNum w:abstractNumId="4">
    <w:nsid w:val="00000013"/>
    <w:multiLevelType w:val="multilevel"/>
    <w:tmpl w:val="00000013"/>
    <w:lvl w:ilvl="0" w:tentative="0">
      <w:start w:val="1"/>
      <w:numFmt w:val="decimal"/>
      <w:lvlText w:val="（%1）"/>
      <w:lvlJc w:val="left"/>
      <w:pPr>
        <w:tabs>
          <w:tab w:val="left" w:pos="1200"/>
        </w:tabs>
        <w:ind w:left="1200" w:hanging="720"/>
      </w:pPr>
      <w:rPr>
        <w:rFonts w:hint="default"/>
      </w:rPr>
    </w:lvl>
    <w:lvl w:ilvl="1" w:tentative="0">
      <w:start w:val="10"/>
      <w:numFmt w:val="japaneseCounting"/>
      <w:lvlText w:val="%2、"/>
      <w:lvlJc w:val="left"/>
      <w:pPr>
        <w:tabs>
          <w:tab w:val="left" w:pos="855"/>
        </w:tabs>
        <w:ind w:left="855" w:hanging="435"/>
      </w:pPr>
      <w:rPr>
        <w:rFonts w:hint="default"/>
      </w:rPr>
    </w:lvl>
    <w:lvl w:ilvl="2" w:tentative="0">
      <w:start w:val="1"/>
      <w:numFmt w:val="japaneseCounting"/>
      <w:lvlText w:val="（%3）"/>
      <w:lvlJc w:val="left"/>
      <w:pPr>
        <w:tabs>
          <w:tab w:val="left" w:pos="1605"/>
        </w:tabs>
        <w:ind w:left="1605" w:hanging="765"/>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4"/>
    <w:multiLevelType w:val="multilevel"/>
    <w:tmpl w:val="00000014"/>
    <w:lvl w:ilvl="0" w:tentative="0">
      <w:start w:val="1"/>
      <w:numFmt w:val="decimal"/>
      <w:pStyle w:val="66"/>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00000017"/>
    <w:multiLevelType w:val="multilevel"/>
    <w:tmpl w:val="00000017"/>
    <w:lvl w:ilvl="0" w:tentative="0">
      <w:start w:val="1"/>
      <w:numFmt w:val="chineseCountingThousand"/>
      <w:suff w:val="nothing"/>
      <w:lvlText w:val="第%1部分"/>
      <w:lvlJc w:val="center"/>
      <w:pPr>
        <w:ind w:left="-288" w:firstLine="288"/>
      </w:pPr>
      <w:rPr>
        <w:rFonts w:hint="eastAsia"/>
        <w:sz w:val="28"/>
        <w:szCs w:val="28"/>
      </w:rPr>
    </w:lvl>
    <w:lvl w:ilvl="1" w:tentative="0">
      <w:start w:val="1"/>
      <w:numFmt w:val="chineseCountingThousand"/>
      <w:pStyle w:val="3"/>
      <w:suff w:val="nothing"/>
      <w:lvlText w:val="%2、"/>
      <w:lvlJc w:val="left"/>
      <w:pPr>
        <w:ind w:left="2700"/>
      </w:pPr>
      <w:rPr>
        <w:rFonts w:hint="eastAsia" w:ascii="宋体" w:hAnsi="宋体" w:eastAsia="宋体"/>
        <w:sz w:val="24"/>
        <w:szCs w:val="24"/>
      </w:rPr>
    </w:lvl>
    <w:lvl w:ilvl="2" w:tentative="0">
      <w:start w:val="1"/>
      <w:numFmt w:val="chineseCountingThousand"/>
      <w:suff w:val="nothing"/>
      <w:lvlText w:val="(%3)"/>
      <w:lvlJc w:val="left"/>
      <w:rPr>
        <w:rFonts w:hint="eastAsia"/>
      </w:rPr>
    </w:lvl>
    <w:lvl w:ilvl="3" w:tentative="0">
      <w:start w:val="1"/>
      <w:numFmt w:val="decimal"/>
      <w:suff w:val="nothing"/>
      <w:lvlText w:val="%4、"/>
      <w:lvlJc w:val="left"/>
      <w:rPr>
        <w:rFonts w:hint="eastAsia" w:ascii="宋体" w:hAnsi="宋体" w:eastAsia="宋体"/>
        <w:b/>
        <w:bCs/>
        <w:i w:val="0"/>
        <w:iCs w:val="0"/>
        <w:caps w:val="0"/>
        <w:smallCaps w:val="0"/>
        <w:strike w:val="0"/>
        <w:dstrike w:val="0"/>
        <w:outline w:val="0"/>
        <w:shadow w:val="0"/>
        <w:emboss w:val="0"/>
        <w:imprint w:val="0"/>
        <w:color w:val="auto"/>
        <w:spacing w:val="0"/>
        <w:w w:val="100"/>
        <w:kern w:val="0"/>
        <w:position w:val="0"/>
        <w:sz w:val="24"/>
        <w:szCs w:val="24"/>
        <w:u w:val="none"/>
      </w:rPr>
    </w:lvl>
    <w:lvl w:ilvl="4" w:tentative="0">
      <w:start w:val="1"/>
      <w:numFmt w:val="upperLetter"/>
      <w:suff w:val="nothing"/>
      <w:lvlText w:val="%5、"/>
      <w:lvlJc w:val="left"/>
      <w:rPr>
        <w:rFonts w:hint="eastAsia"/>
      </w:rPr>
    </w:lvl>
    <w:lvl w:ilvl="5" w:tentative="0">
      <w:start w:val="1"/>
      <w:numFmt w:val="none"/>
      <w:suff w:val="nothing"/>
      <w:lvlText w:val=""/>
      <w:lvlJc w:val="left"/>
      <w:rPr>
        <w:rFonts w:hint="eastAsia"/>
      </w:rPr>
    </w:lvl>
    <w:lvl w:ilvl="6" w:tentative="0">
      <w:start w:val="1"/>
      <w:numFmt w:val="none"/>
      <w:suff w:val="nothing"/>
      <w:lvlText w:val=""/>
      <w:lvlJc w:val="left"/>
      <w:rPr>
        <w:rFonts w:hint="eastAsia"/>
      </w:rPr>
    </w:lvl>
    <w:lvl w:ilvl="7" w:tentative="0">
      <w:start w:val="1"/>
      <w:numFmt w:val="none"/>
      <w:suff w:val="nothing"/>
      <w:lvlText w:val=""/>
      <w:lvlJc w:val="left"/>
      <w:rPr>
        <w:rFonts w:hint="eastAsia"/>
      </w:rPr>
    </w:lvl>
    <w:lvl w:ilvl="8" w:tentative="0">
      <w:start w:val="1"/>
      <w:numFmt w:val="none"/>
      <w:suff w:val="nothing"/>
      <w:lvlText w:val=""/>
      <w:lvlJc w:val="left"/>
      <w:rPr>
        <w:rFonts w:hint="eastAsia"/>
      </w:rPr>
    </w:lvl>
  </w:abstractNum>
  <w:abstractNum w:abstractNumId="7">
    <w:nsid w:val="0000001C"/>
    <w:multiLevelType w:val="multilevel"/>
    <w:tmpl w:val="0000001C"/>
    <w:lvl w:ilvl="0" w:tentative="0">
      <w:start w:val="1"/>
      <w:numFmt w:val="upperLetter"/>
      <w:lvlText w:val="%1、"/>
      <w:lvlJc w:val="left"/>
      <w:pPr>
        <w:tabs>
          <w:tab w:val="left" w:pos="840"/>
        </w:tabs>
        <w:ind w:left="840" w:hanging="420"/>
      </w:pPr>
      <w:rPr>
        <w:rFonts w:ascii="宋体" w:hAnsi="宋体" w:eastAsia="宋体"/>
      </w:rPr>
    </w:lvl>
    <w:lvl w:ilvl="1" w:tentative="0">
      <w:start w:val="1"/>
      <w:numFmt w:val="decimal"/>
      <w:lvlText w:val="（%2）"/>
      <w:lvlJc w:val="left"/>
      <w:pPr>
        <w:tabs>
          <w:tab w:val="left" w:pos="1140"/>
        </w:tabs>
        <w:ind w:left="1140" w:hanging="720"/>
      </w:pPr>
      <w:rPr>
        <w:rFonts w:hint="eastAsia"/>
      </w:r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F"/>
    <w:multiLevelType w:val="multilevel"/>
    <w:tmpl w:val="0000001F"/>
    <w:lvl w:ilvl="0" w:tentative="0">
      <w:start w:val="16"/>
      <w:numFmt w:val="decimal"/>
      <w:lvlText w:val="%1"/>
      <w:lvlJc w:val="left"/>
      <w:pPr>
        <w:tabs>
          <w:tab w:val="left" w:pos="360"/>
        </w:tabs>
        <w:ind w:left="360" w:hanging="360"/>
      </w:pPr>
      <w:rPr>
        <w:rFonts w:hint="default"/>
      </w:rPr>
    </w:lvl>
    <w:lvl w:ilvl="1" w:tentative="0">
      <w:start w:val="4"/>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9">
    <w:nsid w:val="00000023"/>
    <w:multiLevelType w:val="multilevel"/>
    <w:tmpl w:val="00000023"/>
    <w:lvl w:ilvl="0" w:tentative="0">
      <w:start w:val="18"/>
      <w:numFmt w:val="decimal"/>
      <w:lvlText w:val="%1"/>
      <w:lvlJc w:val="left"/>
      <w:pPr>
        <w:tabs>
          <w:tab w:val="left" w:pos="480"/>
        </w:tabs>
        <w:ind w:left="480" w:hanging="480"/>
      </w:pPr>
      <w:rPr>
        <w:rFonts w:hint="default"/>
      </w:rPr>
    </w:lvl>
    <w:lvl w:ilvl="1" w:tentative="0">
      <w:start w:val="1"/>
      <w:numFmt w:val="decimal"/>
      <w:lvlText w:val="%1.%2"/>
      <w:lvlJc w:val="left"/>
      <w:pPr>
        <w:tabs>
          <w:tab w:val="left" w:pos="480"/>
        </w:tabs>
        <w:ind w:left="480" w:hanging="48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10">
    <w:nsid w:val="00000026"/>
    <w:multiLevelType w:val="multilevel"/>
    <w:tmpl w:val="00000026"/>
    <w:lvl w:ilvl="0" w:tentative="0">
      <w:start w:val="1"/>
      <w:numFmt w:val="upperLetter"/>
      <w:lvlText w:val="%1、"/>
      <w:lvlJc w:val="left"/>
      <w:pPr>
        <w:tabs>
          <w:tab w:val="left" w:pos="840"/>
        </w:tabs>
        <w:ind w:left="840" w:hanging="420"/>
      </w:pPr>
      <w:rPr>
        <w:rFonts w:ascii="宋体" w:hAnsi="宋体" w:eastAsia="宋体"/>
      </w:rPr>
    </w:lvl>
    <w:lvl w:ilvl="1" w:tentative="0">
      <w:start w:val="1"/>
      <w:numFmt w:val="decimal"/>
      <w:lvlText w:val="（%2）"/>
      <w:lvlJc w:val="left"/>
      <w:pPr>
        <w:tabs>
          <w:tab w:val="left" w:pos="1140"/>
        </w:tabs>
        <w:ind w:left="1140" w:hanging="720"/>
      </w:pPr>
      <w:rPr>
        <w:rFonts w:hint="eastAsia"/>
      </w:r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29"/>
    <w:multiLevelType w:val="multilevel"/>
    <w:tmpl w:val="00000029"/>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7"/>
      <w:numFmt w:val="decimal"/>
      <w:lvlText w:val="%3"/>
      <w:lvlJc w:val="left"/>
      <w:pPr>
        <w:tabs>
          <w:tab w:val="left" w:pos="1680"/>
        </w:tabs>
        <w:ind w:left="1680" w:hanging="360"/>
      </w:pPr>
      <w:rPr>
        <w:rFonts w:hint="default"/>
      </w:rPr>
    </w:lvl>
    <w:lvl w:ilvl="3" w:tentative="0">
      <w:start w:val="4"/>
      <w:numFmt w:val="japaneseCounting"/>
      <w:lvlText w:val="%4、"/>
      <w:lvlJc w:val="left"/>
      <w:pPr>
        <w:tabs>
          <w:tab w:val="left" w:pos="2460"/>
        </w:tabs>
        <w:ind w:left="2460" w:hanging="720"/>
      </w:pPr>
      <w:rPr>
        <w:rFonts w:hint="eastAsia"/>
      </w:rPr>
    </w:lvl>
    <w:lvl w:ilvl="4" w:tentative="0">
      <w:start w:val="12"/>
      <w:numFmt w:val="decimal"/>
      <w:lvlText w:val="%5、"/>
      <w:lvlJc w:val="left"/>
      <w:pPr>
        <w:tabs>
          <w:tab w:val="left" w:pos="2640"/>
        </w:tabs>
        <w:ind w:left="2640" w:hanging="480"/>
      </w:pPr>
      <w:rPr>
        <w:rFonts w:hint="eastAsia"/>
      </w:r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2">
    <w:nsid w:val="00000031"/>
    <w:multiLevelType w:val="multilevel"/>
    <w:tmpl w:val="00000031"/>
    <w:lvl w:ilvl="0" w:tentative="0">
      <w:start w:val="16"/>
      <w:numFmt w:val="decimal"/>
      <w:lvlText w:val="%1."/>
      <w:lvlJc w:val="left"/>
      <w:pPr>
        <w:tabs>
          <w:tab w:val="left" w:pos="735"/>
        </w:tabs>
        <w:ind w:left="735" w:hanging="735"/>
      </w:pPr>
      <w:rPr>
        <w:rFonts w:hint="default"/>
      </w:rPr>
    </w:lvl>
    <w:lvl w:ilvl="1" w:tentative="0">
      <w:start w:val="0"/>
      <w:numFmt w:val="none"/>
      <w:lvlText w:val=""/>
      <w:lvlJc w:val="left"/>
      <w:pPr>
        <w:tabs>
          <w:tab w:val="left" w:pos="360"/>
        </w:tabs>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none"/>
      <w:lvlText w:val=""/>
      <w:lvlJc w:val="left"/>
      <w:pPr>
        <w:tabs>
          <w:tab w:val="left" w:pos="360"/>
        </w:tabs>
      </w:pPr>
    </w:lvl>
    <w:lvl w:ilvl="5" w:tentative="0">
      <w:start w:val="0"/>
      <w:numFmt w:val="none"/>
      <w:lvlText w:val=""/>
      <w:lvlJc w:val="left"/>
      <w:pPr>
        <w:tabs>
          <w:tab w:val="left" w:pos="360"/>
        </w:tabs>
      </w:pPr>
    </w:lvl>
    <w:lvl w:ilvl="6" w:tentative="0">
      <w:start w:val="0"/>
      <w:numFmt w:val="none"/>
      <w:lvlText w:val=""/>
      <w:lvlJc w:val="left"/>
      <w:pPr>
        <w:tabs>
          <w:tab w:val="left" w:pos="360"/>
        </w:tabs>
      </w:pPr>
    </w:lvl>
    <w:lvl w:ilvl="7" w:tentative="0">
      <w:start w:val="0"/>
      <w:numFmt w:val="none"/>
      <w:lvlText w:val=""/>
      <w:lvlJc w:val="left"/>
      <w:pPr>
        <w:tabs>
          <w:tab w:val="left" w:pos="360"/>
        </w:tabs>
      </w:pPr>
    </w:lvl>
    <w:lvl w:ilvl="8" w:tentative="0">
      <w:start w:val="0"/>
      <w:numFmt w:val="none"/>
      <w:lvlText w:val=""/>
      <w:lvlJc w:val="left"/>
      <w:pPr>
        <w:tabs>
          <w:tab w:val="left" w:pos="360"/>
        </w:tabs>
      </w:pPr>
    </w:lvl>
  </w:abstractNum>
  <w:abstractNum w:abstractNumId="13">
    <w:nsid w:val="00000036"/>
    <w:multiLevelType w:val="multilevel"/>
    <w:tmpl w:val="00000036"/>
    <w:lvl w:ilvl="0" w:tentative="0">
      <w:start w:val="1"/>
      <w:numFmt w:val="decimal"/>
      <w:lvlText w:val="（%1）"/>
      <w:lvlJc w:val="left"/>
      <w:pPr>
        <w:tabs>
          <w:tab w:val="left" w:pos="1493"/>
        </w:tabs>
        <w:ind w:left="1493" w:hanging="720"/>
      </w:pPr>
      <w:rPr>
        <w:rFonts w:hint="eastAsia"/>
      </w:rPr>
    </w:lvl>
    <w:lvl w:ilvl="1" w:tentative="0">
      <w:start w:val="1"/>
      <w:numFmt w:val="lowerLetter"/>
      <w:lvlText w:val="%2)"/>
      <w:lvlJc w:val="left"/>
      <w:pPr>
        <w:tabs>
          <w:tab w:val="left" w:pos="1613"/>
        </w:tabs>
        <w:ind w:left="1613" w:hanging="420"/>
      </w:pPr>
    </w:lvl>
    <w:lvl w:ilvl="2" w:tentative="0">
      <w:start w:val="1"/>
      <w:numFmt w:val="lowerRoman"/>
      <w:lvlText w:val="%3."/>
      <w:lvlJc w:val="right"/>
      <w:pPr>
        <w:tabs>
          <w:tab w:val="left" w:pos="2033"/>
        </w:tabs>
        <w:ind w:left="2033" w:hanging="420"/>
      </w:pPr>
    </w:lvl>
    <w:lvl w:ilvl="3" w:tentative="0">
      <w:start w:val="1"/>
      <w:numFmt w:val="decimal"/>
      <w:lvlText w:val="%4."/>
      <w:lvlJc w:val="left"/>
      <w:pPr>
        <w:tabs>
          <w:tab w:val="left" w:pos="2453"/>
        </w:tabs>
        <w:ind w:left="2453" w:hanging="420"/>
      </w:pPr>
    </w:lvl>
    <w:lvl w:ilvl="4" w:tentative="0">
      <w:start w:val="1"/>
      <w:numFmt w:val="lowerLetter"/>
      <w:lvlText w:val="%5)"/>
      <w:lvlJc w:val="left"/>
      <w:pPr>
        <w:tabs>
          <w:tab w:val="left" w:pos="2873"/>
        </w:tabs>
        <w:ind w:left="2873" w:hanging="420"/>
      </w:pPr>
    </w:lvl>
    <w:lvl w:ilvl="5" w:tentative="0">
      <w:start w:val="1"/>
      <w:numFmt w:val="lowerRoman"/>
      <w:lvlText w:val="%6."/>
      <w:lvlJc w:val="right"/>
      <w:pPr>
        <w:tabs>
          <w:tab w:val="left" w:pos="3293"/>
        </w:tabs>
        <w:ind w:left="3293" w:hanging="420"/>
      </w:pPr>
    </w:lvl>
    <w:lvl w:ilvl="6" w:tentative="0">
      <w:start w:val="1"/>
      <w:numFmt w:val="decimal"/>
      <w:lvlText w:val="%7."/>
      <w:lvlJc w:val="left"/>
      <w:pPr>
        <w:tabs>
          <w:tab w:val="left" w:pos="3713"/>
        </w:tabs>
        <w:ind w:left="3713" w:hanging="420"/>
      </w:pPr>
    </w:lvl>
    <w:lvl w:ilvl="7" w:tentative="0">
      <w:start w:val="1"/>
      <w:numFmt w:val="lowerLetter"/>
      <w:lvlText w:val="%8)"/>
      <w:lvlJc w:val="left"/>
      <w:pPr>
        <w:tabs>
          <w:tab w:val="left" w:pos="4133"/>
        </w:tabs>
        <w:ind w:left="4133" w:hanging="420"/>
      </w:pPr>
    </w:lvl>
    <w:lvl w:ilvl="8" w:tentative="0">
      <w:start w:val="1"/>
      <w:numFmt w:val="lowerRoman"/>
      <w:lvlText w:val="%9."/>
      <w:lvlJc w:val="right"/>
      <w:pPr>
        <w:tabs>
          <w:tab w:val="left" w:pos="4553"/>
        </w:tabs>
        <w:ind w:left="4553" w:hanging="420"/>
      </w:pPr>
    </w:lvl>
  </w:abstractNum>
  <w:abstractNum w:abstractNumId="14">
    <w:nsid w:val="05413519"/>
    <w:multiLevelType w:val="multilevel"/>
    <w:tmpl w:val="05413519"/>
    <w:lvl w:ilvl="0" w:tentative="0">
      <w:start w:val="1"/>
      <w:numFmt w:val="decimal"/>
      <w:pStyle w:val="81"/>
      <w:suff w:val="space"/>
      <w:lvlText w:val="%1"/>
      <w:lvlJc w:val="left"/>
      <w:pPr>
        <w:tabs>
          <w:tab w:val="left" w:pos="425"/>
        </w:tabs>
      </w:pPr>
    </w:lvl>
    <w:lvl w:ilvl="1" w:tentative="0">
      <w:start w:val="1"/>
      <w:numFmt w:val="decimal"/>
      <w:pStyle w:val="75"/>
      <w:suff w:val="space"/>
      <w:lvlText w:val="%1.%2"/>
      <w:lvlJc w:val="left"/>
      <w:pPr>
        <w:tabs>
          <w:tab w:val="left" w:pos="992"/>
        </w:tabs>
      </w:pPr>
    </w:lvl>
    <w:lvl w:ilvl="2" w:tentative="0">
      <w:start w:val="1"/>
      <w:numFmt w:val="decimal"/>
      <w:pStyle w:val="83"/>
      <w:suff w:val="space"/>
      <w:lvlText w:val="%1.%2.%3"/>
      <w:lvlJc w:val="left"/>
      <w:pPr>
        <w:tabs>
          <w:tab w:val="left" w:pos="1418"/>
        </w:tabs>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5">
    <w:nsid w:val="0655114A"/>
    <w:multiLevelType w:val="multilevel"/>
    <w:tmpl w:val="0655114A"/>
    <w:lvl w:ilvl="0" w:tentative="0">
      <w:start w:val="1"/>
      <w:numFmt w:val="chineseCountingThousand"/>
      <w:lvlText w:val="第%1条"/>
      <w:lvlJc w:val="left"/>
      <w:pPr>
        <w:tabs>
          <w:tab w:val="left" w:pos="403"/>
        </w:tabs>
        <w:ind w:firstLine="400"/>
      </w:pPr>
      <w:rPr>
        <w:b/>
        <w:bCs/>
      </w:rPr>
    </w:lvl>
    <w:lvl w:ilvl="1" w:tentative="0">
      <w:start w:val="1"/>
      <w:numFmt w:val="decimal"/>
      <w:lvlText w:val="%2、"/>
      <w:lvlJc w:val="left"/>
      <w:pPr>
        <w:tabs>
          <w:tab w:val="left" w:pos="423"/>
        </w:tabs>
        <w:ind w:left="20" w:firstLine="400"/>
      </w:pPr>
      <w:rPr>
        <w:b w:val="0"/>
        <w:bCs w:val="0"/>
      </w:rPr>
    </w:lvl>
    <w:lvl w:ilvl="2" w:tentative="0">
      <w:start w:val="1"/>
      <w:numFmt w:val="decimal"/>
      <w:lvlText w:val="%3、"/>
      <w:lvlJc w:val="left"/>
      <w:pPr>
        <w:tabs>
          <w:tab w:val="left" w:pos="425"/>
        </w:tabs>
        <w:ind w:left="23" w:firstLine="397"/>
      </w:pPr>
      <w:rPr>
        <w:b w:val="0"/>
        <w:bCs w:val="0"/>
        <w:color w:val="auto"/>
        <w:sz w:val="24"/>
        <w:szCs w:val="24"/>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08A71353"/>
    <w:multiLevelType w:val="multilevel"/>
    <w:tmpl w:val="08A71353"/>
    <w:lvl w:ilvl="0" w:tentative="0">
      <w:start w:val="1"/>
      <w:numFmt w:val="decimal"/>
      <w:lvlText w:val="%1、"/>
      <w:lvlJc w:val="left"/>
      <w:pPr>
        <w:ind w:left="360" w:hanging="360"/>
      </w:pPr>
      <w:rPr>
        <w:rFonts w:hint="default"/>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1DF3334A"/>
    <w:multiLevelType w:val="multilevel"/>
    <w:tmpl w:val="1DF3334A"/>
    <w:lvl w:ilvl="0" w:tentative="0">
      <w:start w:val="1"/>
      <w:numFmt w:val="chineseCountingThousand"/>
      <w:lvlText w:val="第%1条"/>
      <w:lvlJc w:val="left"/>
      <w:pPr>
        <w:tabs>
          <w:tab w:val="left" w:pos="403"/>
        </w:tabs>
        <w:ind w:firstLine="400"/>
      </w:pPr>
      <w:rPr>
        <w:b/>
        <w:bCs/>
      </w:rPr>
    </w:lvl>
    <w:lvl w:ilvl="1" w:tentative="0">
      <w:start w:val="1"/>
      <w:numFmt w:val="decimal"/>
      <w:lvlText w:val="%2、"/>
      <w:lvlJc w:val="left"/>
      <w:pPr>
        <w:tabs>
          <w:tab w:val="left" w:pos="423"/>
        </w:tabs>
        <w:ind w:left="20" w:firstLine="400"/>
      </w:pPr>
      <w:rPr>
        <w:b w:val="0"/>
        <w:bCs w:val="0"/>
      </w:rPr>
    </w:lvl>
    <w:lvl w:ilvl="2" w:tentative="0">
      <w:start w:val="1"/>
      <w:numFmt w:val="decimal"/>
      <w:lvlText w:val="%3、"/>
      <w:lvlJc w:val="left"/>
      <w:pPr>
        <w:tabs>
          <w:tab w:val="left" w:pos="425"/>
        </w:tabs>
        <w:ind w:left="23" w:firstLine="397"/>
      </w:pPr>
      <w:rPr>
        <w:b w:val="0"/>
        <w:bCs w:val="0"/>
        <w:sz w:val="24"/>
        <w:szCs w:val="24"/>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26704CD4"/>
    <w:multiLevelType w:val="multilevel"/>
    <w:tmpl w:val="26704CD4"/>
    <w:lvl w:ilvl="0" w:tentative="0">
      <w:start w:val="1"/>
      <w:numFmt w:val="chineseCountingThousand"/>
      <w:lvlText w:val="第%1条"/>
      <w:lvlJc w:val="left"/>
      <w:pPr>
        <w:tabs>
          <w:tab w:val="left" w:pos="403"/>
        </w:tabs>
        <w:ind w:firstLine="400"/>
      </w:pPr>
      <w:rPr>
        <w:rFonts w:hint="default"/>
        <w:b/>
        <w:bCs/>
      </w:rPr>
    </w:lvl>
    <w:lvl w:ilvl="1" w:tentative="0">
      <w:start w:val="1"/>
      <w:numFmt w:val="decimal"/>
      <w:lvlText w:val="%2、"/>
      <w:lvlJc w:val="left"/>
      <w:pPr>
        <w:tabs>
          <w:tab w:val="left" w:pos="423"/>
        </w:tabs>
        <w:ind w:left="20" w:firstLine="400"/>
      </w:pPr>
      <w:rPr>
        <w:rFonts w:hint="default"/>
        <w:b w:val="0"/>
        <w:bCs w:val="0"/>
      </w:rPr>
    </w:lvl>
    <w:lvl w:ilvl="2" w:tentative="0">
      <w:start w:val="1"/>
      <w:numFmt w:val="decimal"/>
      <w:lvlText w:val="%3、"/>
      <w:lvlJc w:val="left"/>
      <w:pPr>
        <w:tabs>
          <w:tab w:val="left" w:pos="425"/>
        </w:tabs>
        <w:ind w:left="23" w:firstLine="397"/>
      </w:pPr>
      <w:rPr>
        <w:rFonts w:hint="default"/>
        <w:b w:val="0"/>
        <w:bCs w:val="0"/>
        <w:sz w:val="24"/>
        <w:szCs w:val="24"/>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3BED33CC"/>
    <w:multiLevelType w:val="multilevel"/>
    <w:tmpl w:val="3BED33CC"/>
    <w:lvl w:ilvl="0" w:tentative="0">
      <w:start w:val="1"/>
      <w:numFmt w:val="bullet"/>
      <w:lvlText w:val=""/>
      <w:lvlJc w:val="left"/>
      <w:pPr>
        <w:ind w:left="900" w:hanging="420"/>
      </w:pPr>
      <w:rPr>
        <w:rFonts w:hint="default" w:ascii="Wingdings" w:hAnsi="Wingdings" w:cs="Wingdings"/>
      </w:rPr>
    </w:lvl>
    <w:lvl w:ilvl="1" w:tentative="0">
      <w:start w:val="1"/>
      <w:numFmt w:val="bullet"/>
      <w:lvlText w:val=""/>
      <w:lvlJc w:val="left"/>
      <w:pPr>
        <w:ind w:left="1320" w:hanging="420"/>
      </w:pPr>
      <w:rPr>
        <w:rFonts w:hint="default" w:ascii="Wingdings" w:hAnsi="Wingdings" w:cs="Wingdings"/>
      </w:rPr>
    </w:lvl>
    <w:lvl w:ilvl="2" w:tentative="0">
      <w:start w:val="1"/>
      <w:numFmt w:val="bullet"/>
      <w:lvlText w:val=""/>
      <w:lvlJc w:val="left"/>
      <w:pPr>
        <w:ind w:left="1740" w:hanging="420"/>
      </w:pPr>
      <w:rPr>
        <w:rFonts w:hint="default" w:ascii="Wingdings" w:hAnsi="Wingdings" w:cs="Wingdings"/>
      </w:rPr>
    </w:lvl>
    <w:lvl w:ilvl="3" w:tentative="0">
      <w:start w:val="1"/>
      <w:numFmt w:val="bullet"/>
      <w:lvlText w:val=""/>
      <w:lvlJc w:val="left"/>
      <w:pPr>
        <w:ind w:left="2160" w:hanging="420"/>
      </w:pPr>
      <w:rPr>
        <w:rFonts w:hint="default" w:ascii="Wingdings" w:hAnsi="Wingdings" w:cs="Wingdings"/>
      </w:rPr>
    </w:lvl>
    <w:lvl w:ilvl="4" w:tentative="0">
      <w:start w:val="1"/>
      <w:numFmt w:val="bullet"/>
      <w:lvlText w:val=""/>
      <w:lvlJc w:val="left"/>
      <w:pPr>
        <w:ind w:left="2580" w:hanging="420"/>
      </w:pPr>
      <w:rPr>
        <w:rFonts w:hint="default" w:ascii="Wingdings" w:hAnsi="Wingdings" w:cs="Wingdings"/>
      </w:rPr>
    </w:lvl>
    <w:lvl w:ilvl="5" w:tentative="0">
      <w:start w:val="1"/>
      <w:numFmt w:val="bullet"/>
      <w:lvlText w:val=""/>
      <w:lvlJc w:val="left"/>
      <w:pPr>
        <w:ind w:left="3000" w:hanging="420"/>
      </w:pPr>
      <w:rPr>
        <w:rFonts w:hint="default" w:ascii="Wingdings" w:hAnsi="Wingdings" w:cs="Wingdings"/>
      </w:rPr>
    </w:lvl>
    <w:lvl w:ilvl="6" w:tentative="0">
      <w:start w:val="1"/>
      <w:numFmt w:val="bullet"/>
      <w:lvlText w:val=""/>
      <w:lvlJc w:val="left"/>
      <w:pPr>
        <w:ind w:left="3420" w:hanging="420"/>
      </w:pPr>
      <w:rPr>
        <w:rFonts w:hint="default" w:ascii="Wingdings" w:hAnsi="Wingdings" w:cs="Wingdings"/>
      </w:rPr>
    </w:lvl>
    <w:lvl w:ilvl="7" w:tentative="0">
      <w:start w:val="1"/>
      <w:numFmt w:val="bullet"/>
      <w:lvlText w:val=""/>
      <w:lvlJc w:val="left"/>
      <w:pPr>
        <w:ind w:left="3840" w:hanging="420"/>
      </w:pPr>
      <w:rPr>
        <w:rFonts w:hint="default" w:ascii="Wingdings" w:hAnsi="Wingdings" w:cs="Wingdings"/>
      </w:rPr>
    </w:lvl>
    <w:lvl w:ilvl="8" w:tentative="0">
      <w:start w:val="1"/>
      <w:numFmt w:val="bullet"/>
      <w:lvlText w:val=""/>
      <w:lvlJc w:val="left"/>
      <w:pPr>
        <w:ind w:left="4260" w:hanging="420"/>
      </w:pPr>
      <w:rPr>
        <w:rFonts w:hint="default" w:ascii="Wingdings" w:hAnsi="Wingdings" w:cs="Wingdings"/>
      </w:rPr>
    </w:lvl>
  </w:abstractNum>
  <w:abstractNum w:abstractNumId="20">
    <w:nsid w:val="44826AD0"/>
    <w:multiLevelType w:val="multilevel"/>
    <w:tmpl w:val="44826AD0"/>
    <w:lvl w:ilvl="0" w:tentative="0">
      <w:start w:val="1"/>
      <w:numFmt w:val="decimal"/>
      <w:lvlText w:val="%1、"/>
      <w:lvlJc w:val="left"/>
      <w:pPr>
        <w:tabs>
          <w:tab w:val="left" w:pos="1140"/>
        </w:tabs>
        <w:ind w:left="1140" w:hanging="720"/>
      </w:pPr>
      <w:rPr>
        <w:rFonts w:hint="eastAsia"/>
      </w:rPr>
    </w:lvl>
    <w:lvl w:ilvl="1" w:tentative="0">
      <w:start w:val="1"/>
      <w:numFmt w:val="upperLetter"/>
      <w:lvlText w:val="%2、"/>
      <w:lvlJc w:val="left"/>
      <w:pPr>
        <w:tabs>
          <w:tab w:val="left" w:pos="1185"/>
        </w:tabs>
        <w:ind w:left="1185" w:hanging="765"/>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466C53CD"/>
    <w:multiLevelType w:val="multilevel"/>
    <w:tmpl w:val="466C53CD"/>
    <w:lvl w:ilvl="0" w:tentative="0">
      <w:start w:val="1"/>
      <w:numFmt w:val="decimal"/>
      <w:lvlText w:val="（%1）"/>
      <w:lvlJc w:val="left"/>
      <w:pPr>
        <w:tabs>
          <w:tab w:val="left" w:pos="1260"/>
        </w:tabs>
        <w:ind w:left="1260" w:hanging="720"/>
      </w:pPr>
    </w:lvl>
    <w:lvl w:ilvl="1" w:tentative="0">
      <w:start w:val="1"/>
      <w:numFmt w:val="decimal"/>
      <w:lvlText w:val="%2、"/>
      <w:lvlJc w:val="left"/>
      <w:pPr>
        <w:tabs>
          <w:tab w:val="left" w:pos="1320"/>
        </w:tabs>
        <w:ind w:left="1320" w:hanging="36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22">
    <w:nsid w:val="492B4718"/>
    <w:multiLevelType w:val="multilevel"/>
    <w:tmpl w:val="492B4718"/>
    <w:lvl w:ilvl="0" w:tentative="0">
      <w:start w:val="1"/>
      <w:numFmt w:val="chineseCountingThousand"/>
      <w:lvlText w:val="第%1条"/>
      <w:lvlJc w:val="left"/>
      <w:pPr>
        <w:tabs>
          <w:tab w:val="left" w:pos="403"/>
        </w:tabs>
        <w:ind w:firstLine="400"/>
      </w:pPr>
      <w:rPr>
        <w:b/>
        <w:bCs/>
      </w:rPr>
    </w:lvl>
    <w:lvl w:ilvl="1" w:tentative="0">
      <w:start w:val="1"/>
      <w:numFmt w:val="decimal"/>
      <w:lvlText w:val="%2、"/>
      <w:lvlJc w:val="left"/>
      <w:pPr>
        <w:tabs>
          <w:tab w:val="left" w:pos="423"/>
        </w:tabs>
        <w:ind w:left="20" w:firstLine="400"/>
      </w:pPr>
      <w:rPr>
        <w:b w:val="0"/>
        <w:bCs w:val="0"/>
      </w:rPr>
    </w:lvl>
    <w:lvl w:ilvl="2" w:tentative="0">
      <w:start w:val="1"/>
      <w:numFmt w:val="decimal"/>
      <w:lvlText w:val="%3、"/>
      <w:lvlJc w:val="left"/>
      <w:pPr>
        <w:tabs>
          <w:tab w:val="left" w:pos="425"/>
        </w:tabs>
        <w:ind w:left="23" w:firstLine="397"/>
      </w:pPr>
      <w:rPr>
        <w:b w:val="0"/>
        <w:bCs w:val="0"/>
        <w:color w:val="auto"/>
        <w:sz w:val="24"/>
        <w:szCs w:val="24"/>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53441A32"/>
    <w:multiLevelType w:val="multilevel"/>
    <w:tmpl w:val="53441A32"/>
    <w:lvl w:ilvl="0" w:tentative="0">
      <w:start w:val="1"/>
      <w:numFmt w:val="chineseCountingThousand"/>
      <w:lvlText w:val="第%1条"/>
      <w:lvlJc w:val="left"/>
      <w:pPr>
        <w:tabs>
          <w:tab w:val="left" w:pos="403"/>
        </w:tabs>
        <w:ind w:firstLine="400"/>
      </w:pPr>
      <w:rPr>
        <w:rFonts w:hint="default"/>
        <w:b/>
        <w:bCs/>
      </w:rPr>
    </w:lvl>
    <w:lvl w:ilvl="1" w:tentative="0">
      <w:start w:val="1"/>
      <w:numFmt w:val="decimal"/>
      <w:lvlText w:val="%2、"/>
      <w:lvlJc w:val="left"/>
      <w:pPr>
        <w:tabs>
          <w:tab w:val="left" w:pos="423"/>
        </w:tabs>
        <w:ind w:left="20" w:firstLine="400"/>
      </w:pPr>
      <w:rPr>
        <w:rFonts w:hint="default"/>
        <w:b w:val="0"/>
        <w:bCs w:val="0"/>
      </w:rPr>
    </w:lvl>
    <w:lvl w:ilvl="2" w:tentative="0">
      <w:start w:val="1"/>
      <w:numFmt w:val="decimal"/>
      <w:lvlText w:val="%3、"/>
      <w:lvlJc w:val="left"/>
      <w:pPr>
        <w:tabs>
          <w:tab w:val="left" w:pos="425"/>
        </w:tabs>
        <w:ind w:left="23" w:firstLine="397"/>
      </w:pPr>
      <w:rPr>
        <w:rFonts w:hint="default"/>
        <w:b w:val="0"/>
        <w:bCs w:val="0"/>
        <w:sz w:val="24"/>
        <w:szCs w:val="24"/>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55251A75"/>
    <w:multiLevelType w:val="multilevel"/>
    <w:tmpl w:val="55251A75"/>
    <w:lvl w:ilvl="0" w:tentative="0">
      <w:start w:val="1"/>
      <w:numFmt w:val="decimal"/>
      <w:lvlText w:val="%1、"/>
      <w:lvlJc w:val="left"/>
      <w:pPr>
        <w:tabs>
          <w:tab w:val="left" w:pos="1140"/>
        </w:tabs>
        <w:ind w:left="1140" w:hanging="720"/>
      </w:pPr>
      <w:rPr>
        <w:rFonts w:ascii="Times New Roman" w:hAnsi="Times New Roman" w:eastAsia="Times New Roman"/>
      </w:rPr>
    </w:lvl>
    <w:lvl w:ilvl="1" w:tentative="0">
      <w:start w:val="7"/>
      <w:numFmt w:val="decimal"/>
      <w:lvlText w:val="（%2）"/>
      <w:lvlJc w:val="left"/>
      <w:pPr>
        <w:tabs>
          <w:tab w:val="left" w:pos="1560"/>
        </w:tabs>
        <w:ind w:left="1560" w:hanging="720"/>
      </w:pPr>
      <w:rPr>
        <w:rFonts w:hint="default" w:ascii="宋体" w:eastAsia="宋体"/>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5">
    <w:nsid w:val="5CC06B75"/>
    <w:multiLevelType w:val="multilevel"/>
    <w:tmpl w:val="5CC06B75"/>
    <w:lvl w:ilvl="0" w:tentative="0">
      <w:start w:val="1"/>
      <w:numFmt w:val="chineseCountingThousand"/>
      <w:lvlText w:val="第%1条"/>
      <w:lvlJc w:val="left"/>
      <w:pPr>
        <w:tabs>
          <w:tab w:val="left" w:pos="403"/>
        </w:tabs>
        <w:ind w:firstLine="400"/>
      </w:pPr>
      <w:rPr>
        <w:rFonts w:hint="default"/>
        <w:b/>
        <w:bCs/>
      </w:rPr>
    </w:lvl>
    <w:lvl w:ilvl="1" w:tentative="0">
      <w:start w:val="1"/>
      <w:numFmt w:val="decimal"/>
      <w:lvlText w:val="%2、"/>
      <w:lvlJc w:val="left"/>
      <w:pPr>
        <w:tabs>
          <w:tab w:val="left" w:pos="423"/>
        </w:tabs>
        <w:ind w:left="20" w:firstLine="400"/>
      </w:pPr>
      <w:rPr>
        <w:rFonts w:hint="default"/>
        <w:b w:val="0"/>
        <w:bCs w:val="0"/>
      </w:rPr>
    </w:lvl>
    <w:lvl w:ilvl="2" w:tentative="0">
      <w:start w:val="1"/>
      <w:numFmt w:val="decimal"/>
      <w:lvlText w:val="%3、"/>
      <w:lvlJc w:val="left"/>
      <w:pPr>
        <w:tabs>
          <w:tab w:val="left" w:pos="365"/>
        </w:tabs>
        <w:ind w:left="-37" w:firstLine="397"/>
      </w:pPr>
      <w:rPr>
        <w:rFonts w:hint="default"/>
        <w:b w:val="0"/>
        <w:bCs w:val="0"/>
        <w:sz w:val="24"/>
        <w:szCs w:val="24"/>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25B12BC"/>
    <w:multiLevelType w:val="multilevel"/>
    <w:tmpl w:val="625B12BC"/>
    <w:lvl w:ilvl="0" w:tentative="0">
      <w:start w:val="1"/>
      <w:numFmt w:val="chineseCountingThousand"/>
      <w:lvlText w:val="第%1条"/>
      <w:lvlJc w:val="left"/>
      <w:pPr>
        <w:tabs>
          <w:tab w:val="left" w:pos="403"/>
        </w:tabs>
        <w:ind w:firstLine="400"/>
      </w:pPr>
      <w:rPr>
        <w:b/>
        <w:bCs/>
      </w:rPr>
    </w:lvl>
    <w:lvl w:ilvl="1" w:tentative="0">
      <w:start w:val="1"/>
      <w:numFmt w:val="decimal"/>
      <w:lvlText w:val="%2、"/>
      <w:lvlJc w:val="left"/>
      <w:pPr>
        <w:tabs>
          <w:tab w:val="left" w:pos="423"/>
        </w:tabs>
        <w:ind w:left="20" w:firstLine="400"/>
      </w:pPr>
      <w:rPr>
        <w:b w:val="0"/>
        <w:bCs w:val="0"/>
      </w:rPr>
    </w:lvl>
    <w:lvl w:ilvl="2" w:tentative="0">
      <w:start w:val="1"/>
      <w:numFmt w:val="decimal"/>
      <w:lvlText w:val="%3、"/>
      <w:lvlJc w:val="left"/>
      <w:pPr>
        <w:tabs>
          <w:tab w:val="left" w:pos="425"/>
        </w:tabs>
        <w:ind w:left="23" w:firstLine="397"/>
      </w:pPr>
      <w:rPr>
        <w:b w:val="0"/>
        <w:bCs w:val="0"/>
        <w:sz w:val="24"/>
        <w:szCs w:val="24"/>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4142918"/>
    <w:multiLevelType w:val="multilevel"/>
    <w:tmpl w:val="64142918"/>
    <w:lvl w:ilvl="0" w:tentative="0">
      <w:start w:val="1"/>
      <w:numFmt w:val="chineseCountingThousand"/>
      <w:lvlText w:val="第%1条"/>
      <w:lvlJc w:val="left"/>
      <w:pPr>
        <w:tabs>
          <w:tab w:val="left" w:pos="403"/>
        </w:tabs>
        <w:ind w:firstLine="400"/>
      </w:pPr>
      <w:rPr>
        <w:b/>
        <w:bCs/>
      </w:rPr>
    </w:lvl>
    <w:lvl w:ilvl="1" w:tentative="0">
      <w:start w:val="1"/>
      <w:numFmt w:val="decimal"/>
      <w:lvlText w:val="%2、"/>
      <w:lvlJc w:val="left"/>
      <w:pPr>
        <w:tabs>
          <w:tab w:val="left" w:pos="423"/>
        </w:tabs>
        <w:ind w:left="20" w:firstLine="400"/>
      </w:pPr>
      <w:rPr>
        <w:b w:val="0"/>
        <w:bCs w:val="0"/>
      </w:rPr>
    </w:lvl>
    <w:lvl w:ilvl="2" w:tentative="0">
      <w:start w:val="1"/>
      <w:numFmt w:val="decimal"/>
      <w:lvlText w:val="%3、"/>
      <w:lvlJc w:val="left"/>
      <w:pPr>
        <w:tabs>
          <w:tab w:val="left" w:pos="425"/>
        </w:tabs>
        <w:ind w:left="23" w:firstLine="397"/>
      </w:pPr>
      <w:rPr>
        <w:b w:val="0"/>
        <w:bCs w:val="0"/>
        <w:sz w:val="24"/>
        <w:szCs w:val="24"/>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607673D"/>
    <w:multiLevelType w:val="multilevel"/>
    <w:tmpl w:val="6607673D"/>
    <w:lvl w:ilvl="0" w:tentative="0">
      <w:start w:val="1"/>
      <w:numFmt w:val="bullet"/>
      <w:lvlText w:val=""/>
      <w:lvlJc w:val="left"/>
      <w:pPr>
        <w:ind w:left="1320" w:hanging="420"/>
      </w:pPr>
      <w:rPr>
        <w:rFonts w:hint="default" w:ascii="Wingdings" w:hAnsi="Wingdings" w:cs="Wingdings"/>
      </w:rPr>
    </w:lvl>
    <w:lvl w:ilvl="1" w:tentative="0">
      <w:start w:val="1"/>
      <w:numFmt w:val="bullet"/>
      <w:lvlText w:val=""/>
      <w:lvlJc w:val="left"/>
      <w:pPr>
        <w:ind w:left="1740" w:hanging="420"/>
      </w:pPr>
      <w:rPr>
        <w:rFonts w:hint="default" w:ascii="Wingdings" w:hAnsi="Wingdings" w:cs="Wingdings"/>
      </w:rPr>
    </w:lvl>
    <w:lvl w:ilvl="2" w:tentative="0">
      <w:start w:val="1"/>
      <w:numFmt w:val="bullet"/>
      <w:lvlText w:val=""/>
      <w:lvlJc w:val="left"/>
      <w:pPr>
        <w:ind w:left="2160" w:hanging="420"/>
      </w:pPr>
      <w:rPr>
        <w:rFonts w:hint="default" w:ascii="Wingdings" w:hAnsi="Wingdings" w:cs="Wingdings"/>
      </w:rPr>
    </w:lvl>
    <w:lvl w:ilvl="3" w:tentative="0">
      <w:start w:val="1"/>
      <w:numFmt w:val="bullet"/>
      <w:lvlText w:val=""/>
      <w:lvlJc w:val="left"/>
      <w:pPr>
        <w:ind w:left="2580" w:hanging="420"/>
      </w:pPr>
      <w:rPr>
        <w:rFonts w:hint="default" w:ascii="Wingdings" w:hAnsi="Wingdings" w:cs="Wingdings"/>
      </w:rPr>
    </w:lvl>
    <w:lvl w:ilvl="4" w:tentative="0">
      <w:start w:val="1"/>
      <w:numFmt w:val="bullet"/>
      <w:lvlText w:val=""/>
      <w:lvlJc w:val="left"/>
      <w:pPr>
        <w:ind w:left="3000" w:hanging="420"/>
      </w:pPr>
      <w:rPr>
        <w:rFonts w:hint="default" w:ascii="Wingdings" w:hAnsi="Wingdings" w:cs="Wingdings"/>
      </w:rPr>
    </w:lvl>
    <w:lvl w:ilvl="5" w:tentative="0">
      <w:start w:val="1"/>
      <w:numFmt w:val="bullet"/>
      <w:lvlText w:val=""/>
      <w:lvlJc w:val="left"/>
      <w:pPr>
        <w:ind w:left="3420" w:hanging="420"/>
      </w:pPr>
      <w:rPr>
        <w:rFonts w:hint="default" w:ascii="Wingdings" w:hAnsi="Wingdings" w:cs="Wingdings"/>
      </w:rPr>
    </w:lvl>
    <w:lvl w:ilvl="6" w:tentative="0">
      <w:start w:val="1"/>
      <w:numFmt w:val="bullet"/>
      <w:lvlText w:val=""/>
      <w:lvlJc w:val="left"/>
      <w:pPr>
        <w:ind w:left="3840" w:hanging="420"/>
      </w:pPr>
      <w:rPr>
        <w:rFonts w:hint="default" w:ascii="Wingdings" w:hAnsi="Wingdings" w:cs="Wingdings"/>
      </w:rPr>
    </w:lvl>
    <w:lvl w:ilvl="7" w:tentative="0">
      <w:start w:val="1"/>
      <w:numFmt w:val="bullet"/>
      <w:lvlText w:val=""/>
      <w:lvlJc w:val="left"/>
      <w:pPr>
        <w:ind w:left="4260" w:hanging="420"/>
      </w:pPr>
      <w:rPr>
        <w:rFonts w:hint="default" w:ascii="Wingdings" w:hAnsi="Wingdings" w:cs="Wingdings"/>
      </w:rPr>
    </w:lvl>
    <w:lvl w:ilvl="8" w:tentative="0">
      <w:start w:val="1"/>
      <w:numFmt w:val="bullet"/>
      <w:lvlText w:val=""/>
      <w:lvlJc w:val="left"/>
      <w:pPr>
        <w:ind w:left="4680" w:hanging="420"/>
      </w:pPr>
      <w:rPr>
        <w:rFonts w:hint="default" w:ascii="Wingdings" w:hAnsi="Wingdings" w:cs="Wingdings"/>
      </w:rPr>
    </w:lvl>
  </w:abstractNum>
  <w:abstractNum w:abstractNumId="29">
    <w:nsid w:val="6BDD39F6"/>
    <w:multiLevelType w:val="multilevel"/>
    <w:tmpl w:val="6BDD39F6"/>
    <w:lvl w:ilvl="0" w:tentative="0">
      <w:start w:val="1"/>
      <w:numFmt w:val="chineseCountingThousand"/>
      <w:lvlText w:val="第%1条"/>
      <w:lvlJc w:val="left"/>
      <w:pPr>
        <w:tabs>
          <w:tab w:val="left" w:pos="403"/>
        </w:tabs>
        <w:ind w:firstLine="400"/>
      </w:pPr>
      <w:rPr>
        <w:rFonts w:hint="default"/>
        <w:b/>
        <w:bCs/>
      </w:rPr>
    </w:lvl>
    <w:lvl w:ilvl="1" w:tentative="0">
      <w:start w:val="1"/>
      <w:numFmt w:val="decimal"/>
      <w:lvlText w:val="%2、"/>
      <w:lvlJc w:val="left"/>
      <w:pPr>
        <w:tabs>
          <w:tab w:val="left" w:pos="423"/>
        </w:tabs>
        <w:ind w:left="20" w:firstLine="400"/>
      </w:pPr>
      <w:rPr>
        <w:rFonts w:hint="default"/>
        <w:b w:val="0"/>
        <w:bCs w:val="0"/>
      </w:rPr>
    </w:lvl>
    <w:lvl w:ilvl="2" w:tentative="0">
      <w:start w:val="1"/>
      <w:numFmt w:val="decimal"/>
      <w:lvlText w:val="%3、"/>
      <w:lvlJc w:val="left"/>
      <w:pPr>
        <w:tabs>
          <w:tab w:val="left" w:pos="425"/>
        </w:tabs>
        <w:ind w:left="23" w:firstLine="397"/>
      </w:pPr>
      <w:rPr>
        <w:rFonts w:hint="default"/>
        <w:b w:val="0"/>
        <w:bCs w:val="0"/>
        <w:sz w:val="24"/>
        <w:szCs w:val="24"/>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6F2D5A29"/>
    <w:multiLevelType w:val="multilevel"/>
    <w:tmpl w:val="6F2D5A29"/>
    <w:lvl w:ilvl="0" w:tentative="0">
      <w:start w:val="1"/>
      <w:numFmt w:val="decimal"/>
      <w:lvlText w:val="%1、"/>
      <w:lvlJc w:val="left"/>
      <w:pPr>
        <w:tabs>
          <w:tab w:val="left" w:pos="900"/>
        </w:tabs>
        <w:ind w:left="900" w:hanging="360"/>
      </w:pPr>
      <w:rPr>
        <w:rFonts w:hint="default"/>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31">
    <w:nsid w:val="71C43B91"/>
    <w:multiLevelType w:val="multilevel"/>
    <w:tmpl w:val="71C43B91"/>
    <w:lvl w:ilvl="0" w:tentative="0">
      <w:start w:val="2"/>
      <w:numFmt w:val="bullet"/>
      <w:lvlText w:val="☆"/>
      <w:lvlJc w:val="left"/>
      <w:pPr>
        <w:tabs>
          <w:tab w:val="left" w:pos="900"/>
        </w:tabs>
        <w:ind w:left="900" w:hanging="360"/>
      </w:pPr>
      <w:rPr>
        <w:rFonts w:hint="eastAsia" w:ascii="仿宋_GB2312" w:hAnsi="Times New Roman" w:eastAsia="仿宋_GB2312"/>
      </w:rPr>
    </w:lvl>
    <w:lvl w:ilvl="1" w:tentative="0">
      <w:start w:val="1"/>
      <w:numFmt w:val="bullet"/>
      <w:lvlText w:val=""/>
      <w:lvlJc w:val="left"/>
      <w:pPr>
        <w:tabs>
          <w:tab w:val="left" w:pos="1380"/>
        </w:tabs>
        <w:ind w:left="1380" w:hanging="420"/>
      </w:pPr>
      <w:rPr>
        <w:rFonts w:hint="default" w:ascii="Wingdings" w:hAnsi="Wingdings" w:cs="Wingdings"/>
      </w:rPr>
    </w:lvl>
    <w:lvl w:ilvl="2" w:tentative="0">
      <w:start w:val="1"/>
      <w:numFmt w:val="bullet"/>
      <w:lvlText w:val=""/>
      <w:lvlJc w:val="left"/>
      <w:pPr>
        <w:tabs>
          <w:tab w:val="left" w:pos="1800"/>
        </w:tabs>
        <w:ind w:left="1800" w:hanging="420"/>
      </w:pPr>
      <w:rPr>
        <w:rFonts w:hint="default" w:ascii="Wingdings" w:hAnsi="Wingdings" w:cs="Wingdings"/>
      </w:rPr>
    </w:lvl>
    <w:lvl w:ilvl="3" w:tentative="0">
      <w:start w:val="1"/>
      <w:numFmt w:val="bullet"/>
      <w:lvlText w:val=""/>
      <w:lvlJc w:val="left"/>
      <w:pPr>
        <w:tabs>
          <w:tab w:val="left" w:pos="2220"/>
        </w:tabs>
        <w:ind w:left="2220" w:hanging="420"/>
      </w:pPr>
      <w:rPr>
        <w:rFonts w:hint="default" w:ascii="Wingdings" w:hAnsi="Wingdings" w:cs="Wingdings"/>
      </w:rPr>
    </w:lvl>
    <w:lvl w:ilvl="4" w:tentative="0">
      <w:start w:val="1"/>
      <w:numFmt w:val="bullet"/>
      <w:lvlText w:val=""/>
      <w:lvlJc w:val="left"/>
      <w:pPr>
        <w:tabs>
          <w:tab w:val="left" w:pos="2640"/>
        </w:tabs>
        <w:ind w:left="2640" w:hanging="420"/>
      </w:pPr>
      <w:rPr>
        <w:rFonts w:hint="default" w:ascii="Wingdings" w:hAnsi="Wingdings" w:cs="Wingdings"/>
      </w:rPr>
    </w:lvl>
    <w:lvl w:ilvl="5" w:tentative="0">
      <w:start w:val="1"/>
      <w:numFmt w:val="bullet"/>
      <w:lvlText w:val=""/>
      <w:lvlJc w:val="left"/>
      <w:pPr>
        <w:tabs>
          <w:tab w:val="left" w:pos="3060"/>
        </w:tabs>
        <w:ind w:left="3060" w:hanging="420"/>
      </w:pPr>
      <w:rPr>
        <w:rFonts w:hint="default" w:ascii="Wingdings" w:hAnsi="Wingdings" w:cs="Wingdings"/>
      </w:rPr>
    </w:lvl>
    <w:lvl w:ilvl="6" w:tentative="0">
      <w:start w:val="1"/>
      <w:numFmt w:val="bullet"/>
      <w:lvlText w:val=""/>
      <w:lvlJc w:val="left"/>
      <w:pPr>
        <w:tabs>
          <w:tab w:val="left" w:pos="3480"/>
        </w:tabs>
        <w:ind w:left="3480" w:hanging="420"/>
      </w:pPr>
      <w:rPr>
        <w:rFonts w:hint="default" w:ascii="Wingdings" w:hAnsi="Wingdings" w:cs="Wingdings"/>
      </w:rPr>
    </w:lvl>
    <w:lvl w:ilvl="7" w:tentative="0">
      <w:start w:val="1"/>
      <w:numFmt w:val="bullet"/>
      <w:lvlText w:val=""/>
      <w:lvlJc w:val="left"/>
      <w:pPr>
        <w:tabs>
          <w:tab w:val="left" w:pos="3900"/>
        </w:tabs>
        <w:ind w:left="3900" w:hanging="420"/>
      </w:pPr>
      <w:rPr>
        <w:rFonts w:hint="default" w:ascii="Wingdings" w:hAnsi="Wingdings" w:cs="Wingdings"/>
      </w:rPr>
    </w:lvl>
    <w:lvl w:ilvl="8" w:tentative="0">
      <w:start w:val="1"/>
      <w:numFmt w:val="bullet"/>
      <w:lvlText w:val=""/>
      <w:lvlJc w:val="left"/>
      <w:pPr>
        <w:tabs>
          <w:tab w:val="left" w:pos="4320"/>
        </w:tabs>
        <w:ind w:left="4320" w:hanging="420"/>
      </w:pPr>
      <w:rPr>
        <w:rFonts w:hint="default" w:ascii="Wingdings" w:hAnsi="Wingdings" w:cs="Wingdings"/>
      </w:rPr>
    </w:lvl>
  </w:abstractNum>
  <w:abstractNum w:abstractNumId="32">
    <w:nsid w:val="756621D4"/>
    <w:multiLevelType w:val="multilevel"/>
    <w:tmpl w:val="756621D4"/>
    <w:lvl w:ilvl="0" w:tentative="0">
      <w:start w:val="1"/>
      <w:numFmt w:val="japaneseCounting"/>
      <w:lvlText w:val="%1、"/>
      <w:lvlJc w:val="left"/>
      <w:pPr>
        <w:tabs>
          <w:tab w:val="left" w:pos="480"/>
        </w:tabs>
        <w:ind w:left="480" w:hanging="4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7A961F6C"/>
    <w:multiLevelType w:val="multilevel"/>
    <w:tmpl w:val="7A961F6C"/>
    <w:lvl w:ilvl="0" w:tentative="0">
      <w:start w:val="1"/>
      <w:numFmt w:val="chineseCountingThousand"/>
      <w:lvlText w:val="第%1条"/>
      <w:lvlJc w:val="left"/>
      <w:pPr>
        <w:tabs>
          <w:tab w:val="left" w:pos="403"/>
        </w:tabs>
        <w:ind w:firstLine="400"/>
      </w:pPr>
      <w:rPr>
        <w:rFonts w:hint="default"/>
        <w:b/>
        <w:bCs/>
      </w:rPr>
    </w:lvl>
    <w:lvl w:ilvl="1" w:tentative="0">
      <w:start w:val="1"/>
      <w:numFmt w:val="decimal"/>
      <w:lvlText w:val="%2、"/>
      <w:lvlJc w:val="left"/>
      <w:pPr>
        <w:tabs>
          <w:tab w:val="left" w:pos="423"/>
        </w:tabs>
        <w:ind w:left="20" w:firstLine="400"/>
      </w:pPr>
      <w:rPr>
        <w:rFonts w:hint="default"/>
        <w:b w:val="0"/>
        <w:bCs w:val="0"/>
      </w:rPr>
    </w:lvl>
    <w:lvl w:ilvl="2" w:tentative="0">
      <w:start w:val="1"/>
      <w:numFmt w:val="decimal"/>
      <w:lvlText w:val="%3、"/>
      <w:lvlJc w:val="left"/>
      <w:pPr>
        <w:tabs>
          <w:tab w:val="left" w:pos="425"/>
        </w:tabs>
        <w:ind w:left="23" w:firstLine="397"/>
      </w:pPr>
      <w:rPr>
        <w:rFonts w:hint="default"/>
        <w:b w:val="0"/>
        <w:bCs w:val="0"/>
        <w:sz w:val="24"/>
        <w:szCs w:val="24"/>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7F4846E2"/>
    <w:multiLevelType w:val="multilevel"/>
    <w:tmpl w:val="7F4846E2"/>
    <w:lvl w:ilvl="0" w:tentative="0">
      <w:start w:val="1"/>
      <w:numFmt w:val="chineseCountingThousand"/>
      <w:lvlText w:val="第%1条"/>
      <w:lvlJc w:val="left"/>
      <w:pPr>
        <w:tabs>
          <w:tab w:val="left" w:pos="403"/>
        </w:tabs>
        <w:ind w:firstLine="400"/>
      </w:pPr>
      <w:rPr>
        <w:b/>
        <w:bCs/>
      </w:rPr>
    </w:lvl>
    <w:lvl w:ilvl="1" w:tentative="0">
      <w:start w:val="1"/>
      <w:numFmt w:val="decimal"/>
      <w:lvlText w:val="%2、"/>
      <w:lvlJc w:val="left"/>
      <w:pPr>
        <w:tabs>
          <w:tab w:val="left" w:pos="423"/>
        </w:tabs>
        <w:ind w:left="20" w:firstLine="400"/>
      </w:pPr>
      <w:rPr>
        <w:b w:val="0"/>
        <w:bCs w:val="0"/>
      </w:rPr>
    </w:lvl>
    <w:lvl w:ilvl="2" w:tentative="0">
      <w:start w:val="1"/>
      <w:numFmt w:val="decimal"/>
      <w:lvlText w:val="%3、"/>
      <w:lvlJc w:val="left"/>
      <w:pPr>
        <w:tabs>
          <w:tab w:val="left" w:pos="425"/>
        </w:tabs>
        <w:ind w:left="23" w:firstLine="397"/>
      </w:pPr>
      <w:rPr>
        <w:b w:val="0"/>
        <w:bCs w:val="0"/>
        <w:color w:val="auto"/>
        <w:sz w:val="24"/>
        <w:szCs w:val="24"/>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6"/>
  </w:num>
  <w:num w:numId="3">
    <w:abstractNumId w:val="5"/>
  </w:num>
  <w:num w:numId="4">
    <w:abstractNumId w:val="14"/>
  </w:num>
  <w:num w:numId="5">
    <w:abstractNumId w:val="24"/>
  </w:num>
  <w:num w:numId="6">
    <w:abstractNumId w:val="20"/>
  </w:num>
  <w:num w:numId="7">
    <w:abstractNumId w:val="16"/>
  </w:num>
  <w:num w:numId="8">
    <w:abstractNumId w:val="11"/>
  </w:num>
  <w:num w:numId="9">
    <w:abstractNumId w:val="7"/>
  </w:num>
  <w:num w:numId="10">
    <w:abstractNumId w:val="1"/>
  </w:num>
  <w:num w:numId="11">
    <w:abstractNumId w:val="12"/>
  </w:num>
  <w:num w:numId="12">
    <w:abstractNumId w:val="8"/>
  </w:num>
  <w:num w:numId="13">
    <w:abstractNumId w:val="9"/>
  </w:num>
  <w:num w:numId="14">
    <w:abstractNumId w:val="10"/>
  </w:num>
  <w:num w:numId="15">
    <w:abstractNumId w:val="13"/>
  </w:num>
  <w:num w:numId="16">
    <w:abstractNumId w:val="32"/>
  </w:num>
  <w:num w:numId="17">
    <w:abstractNumId w:val="21"/>
  </w:num>
  <w:num w:numId="18">
    <w:abstractNumId w:val="33"/>
  </w:num>
  <w:num w:numId="19">
    <w:abstractNumId w:val="17"/>
  </w:num>
  <w:num w:numId="20">
    <w:abstractNumId w:val="25"/>
  </w:num>
  <w:num w:numId="21">
    <w:abstractNumId w:val="28"/>
  </w:num>
  <w:num w:numId="22">
    <w:abstractNumId w:val="30"/>
  </w:num>
  <w:num w:numId="23">
    <w:abstractNumId w:val="26"/>
  </w:num>
  <w:num w:numId="24">
    <w:abstractNumId w:val="29"/>
  </w:num>
  <w:num w:numId="25">
    <w:abstractNumId w:val="27"/>
  </w:num>
  <w:num w:numId="26">
    <w:abstractNumId w:val="31"/>
  </w:num>
  <w:num w:numId="27">
    <w:abstractNumId w:val="18"/>
  </w:num>
  <w:num w:numId="28">
    <w:abstractNumId w:val="34"/>
  </w:num>
  <w:num w:numId="29">
    <w:abstractNumId w:val="22"/>
  </w:num>
  <w:num w:numId="30">
    <w:abstractNumId w:val="15"/>
  </w:num>
  <w:num w:numId="31">
    <w:abstractNumId w:val="2"/>
  </w:num>
  <w:num w:numId="32">
    <w:abstractNumId w:val="23"/>
  </w:num>
  <w:num w:numId="33">
    <w:abstractNumId w:val="4"/>
  </w:num>
  <w:num w:numId="34">
    <w:abstractNumId w:val="19"/>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NotTrackMoves/>
  <w:documentProtection w:enforcement="0"/>
  <w:defaultTabStop w:val="420"/>
  <w:doNotHyphenateCaps/>
  <w:drawingGridHorizontalSpacing w:val="120"/>
  <w:drawingGridVerticalSpacing w:val="163"/>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32723"/>
    <w:rsid w:val="00032A21"/>
    <w:rsid w:val="00065712"/>
    <w:rsid w:val="00083A35"/>
    <w:rsid w:val="0009371A"/>
    <w:rsid w:val="000A32B8"/>
    <w:rsid w:val="000C05E2"/>
    <w:rsid w:val="000F1FB1"/>
    <w:rsid w:val="001051FB"/>
    <w:rsid w:val="00124B16"/>
    <w:rsid w:val="0014390A"/>
    <w:rsid w:val="0015533C"/>
    <w:rsid w:val="00160982"/>
    <w:rsid w:val="00172A27"/>
    <w:rsid w:val="001A514F"/>
    <w:rsid w:val="001B1DA6"/>
    <w:rsid w:val="001D79A1"/>
    <w:rsid w:val="001E48D1"/>
    <w:rsid w:val="001F3456"/>
    <w:rsid w:val="001F3E73"/>
    <w:rsid w:val="0020677D"/>
    <w:rsid w:val="00210B18"/>
    <w:rsid w:val="0021120D"/>
    <w:rsid w:val="00212A35"/>
    <w:rsid w:val="002209B2"/>
    <w:rsid w:val="002356A6"/>
    <w:rsid w:val="00252110"/>
    <w:rsid w:val="00274FFB"/>
    <w:rsid w:val="00277A2F"/>
    <w:rsid w:val="00286D28"/>
    <w:rsid w:val="002925D6"/>
    <w:rsid w:val="002A0A98"/>
    <w:rsid w:val="002B2A0C"/>
    <w:rsid w:val="002B36E3"/>
    <w:rsid w:val="002B6482"/>
    <w:rsid w:val="002C1CF5"/>
    <w:rsid w:val="002D56EF"/>
    <w:rsid w:val="002E0A4A"/>
    <w:rsid w:val="002E4F24"/>
    <w:rsid w:val="002F458A"/>
    <w:rsid w:val="002F4F4B"/>
    <w:rsid w:val="00335AC5"/>
    <w:rsid w:val="00341219"/>
    <w:rsid w:val="00346FF8"/>
    <w:rsid w:val="00351B3E"/>
    <w:rsid w:val="00391482"/>
    <w:rsid w:val="00393C20"/>
    <w:rsid w:val="003A17CA"/>
    <w:rsid w:val="003A328A"/>
    <w:rsid w:val="003C0BC0"/>
    <w:rsid w:val="003C3D19"/>
    <w:rsid w:val="003D31D6"/>
    <w:rsid w:val="003D6FED"/>
    <w:rsid w:val="003F75A4"/>
    <w:rsid w:val="004100A3"/>
    <w:rsid w:val="0042575E"/>
    <w:rsid w:val="00425C0A"/>
    <w:rsid w:val="0044297E"/>
    <w:rsid w:val="00453241"/>
    <w:rsid w:val="00453D54"/>
    <w:rsid w:val="00454B6C"/>
    <w:rsid w:val="004767F7"/>
    <w:rsid w:val="00480BD4"/>
    <w:rsid w:val="004B1A7F"/>
    <w:rsid w:val="004B5AF2"/>
    <w:rsid w:val="004E020F"/>
    <w:rsid w:val="004E2E27"/>
    <w:rsid w:val="004E32BB"/>
    <w:rsid w:val="004F0F4C"/>
    <w:rsid w:val="004F7AD0"/>
    <w:rsid w:val="00506812"/>
    <w:rsid w:val="00516012"/>
    <w:rsid w:val="00534AFF"/>
    <w:rsid w:val="00584E54"/>
    <w:rsid w:val="005934D0"/>
    <w:rsid w:val="00595547"/>
    <w:rsid w:val="005B1B9C"/>
    <w:rsid w:val="005E5074"/>
    <w:rsid w:val="005E6476"/>
    <w:rsid w:val="005F211F"/>
    <w:rsid w:val="005F5664"/>
    <w:rsid w:val="00627080"/>
    <w:rsid w:val="00636833"/>
    <w:rsid w:val="006472A1"/>
    <w:rsid w:val="00647BAA"/>
    <w:rsid w:val="00655121"/>
    <w:rsid w:val="006573BE"/>
    <w:rsid w:val="00686CD0"/>
    <w:rsid w:val="00690196"/>
    <w:rsid w:val="00695D11"/>
    <w:rsid w:val="006A5973"/>
    <w:rsid w:val="006A7201"/>
    <w:rsid w:val="006F333A"/>
    <w:rsid w:val="006F5D16"/>
    <w:rsid w:val="00700407"/>
    <w:rsid w:val="007165BD"/>
    <w:rsid w:val="00720675"/>
    <w:rsid w:val="007325C5"/>
    <w:rsid w:val="00736F8B"/>
    <w:rsid w:val="00737161"/>
    <w:rsid w:val="007460C1"/>
    <w:rsid w:val="0074673A"/>
    <w:rsid w:val="00754DB7"/>
    <w:rsid w:val="00761ECC"/>
    <w:rsid w:val="007730ED"/>
    <w:rsid w:val="00776428"/>
    <w:rsid w:val="007A0E28"/>
    <w:rsid w:val="007B4E66"/>
    <w:rsid w:val="007C486B"/>
    <w:rsid w:val="007D57A4"/>
    <w:rsid w:val="007E74C7"/>
    <w:rsid w:val="007F43B4"/>
    <w:rsid w:val="00801390"/>
    <w:rsid w:val="008030A2"/>
    <w:rsid w:val="00813F71"/>
    <w:rsid w:val="00833BC4"/>
    <w:rsid w:val="0088650F"/>
    <w:rsid w:val="00887256"/>
    <w:rsid w:val="008A5AD8"/>
    <w:rsid w:val="008C5AC1"/>
    <w:rsid w:val="008D7199"/>
    <w:rsid w:val="008F1747"/>
    <w:rsid w:val="00930676"/>
    <w:rsid w:val="00940226"/>
    <w:rsid w:val="00941368"/>
    <w:rsid w:val="00950B41"/>
    <w:rsid w:val="00997360"/>
    <w:rsid w:val="009A56DD"/>
    <w:rsid w:val="009B113D"/>
    <w:rsid w:val="009B4F86"/>
    <w:rsid w:val="009C0458"/>
    <w:rsid w:val="009C4696"/>
    <w:rsid w:val="009C4894"/>
    <w:rsid w:val="009C5B2C"/>
    <w:rsid w:val="009D146D"/>
    <w:rsid w:val="009E4419"/>
    <w:rsid w:val="009F50E5"/>
    <w:rsid w:val="00A25F17"/>
    <w:rsid w:val="00A34A05"/>
    <w:rsid w:val="00A45FF5"/>
    <w:rsid w:val="00A461AC"/>
    <w:rsid w:val="00A4736B"/>
    <w:rsid w:val="00A53DF7"/>
    <w:rsid w:val="00A54EA1"/>
    <w:rsid w:val="00A750A1"/>
    <w:rsid w:val="00A94785"/>
    <w:rsid w:val="00A961AC"/>
    <w:rsid w:val="00AA5A15"/>
    <w:rsid w:val="00AB3C6C"/>
    <w:rsid w:val="00AD10F8"/>
    <w:rsid w:val="00AE7FA4"/>
    <w:rsid w:val="00AF31A7"/>
    <w:rsid w:val="00AF672C"/>
    <w:rsid w:val="00B05B95"/>
    <w:rsid w:val="00B16C6A"/>
    <w:rsid w:val="00B36505"/>
    <w:rsid w:val="00B3777F"/>
    <w:rsid w:val="00B409F6"/>
    <w:rsid w:val="00B64750"/>
    <w:rsid w:val="00BA5215"/>
    <w:rsid w:val="00BC00C9"/>
    <w:rsid w:val="00BD7DB9"/>
    <w:rsid w:val="00BE3545"/>
    <w:rsid w:val="00C06B8D"/>
    <w:rsid w:val="00C076BE"/>
    <w:rsid w:val="00C10F61"/>
    <w:rsid w:val="00C12291"/>
    <w:rsid w:val="00C13A8A"/>
    <w:rsid w:val="00C244C9"/>
    <w:rsid w:val="00C30BE0"/>
    <w:rsid w:val="00C359B3"/>
    <w:rsid w:val="00C40991"/>
    <w:rsid w:val="00C4194C"/>
    <w:rsid w:val="00C477BD"/>
    <w:rsid w:val="00C562AD"/>
    <w:rsid w:val="00C56AF0"/>
    <w:rsid w:val="00C71D7C"/>
    <w:rsid w:val="00C731AF"/>
    <w:rsid w:val="00C95190"/>
    <w:rsid w:val="00CB18D4"/>
    <w:rsid w:val="00CB66F1"/>
    <w:rsid w:val="00CD4775"/>
    <w:rsid w:val="00CD48FD"/>
    <w:rsid w:val="00CD6D6C"/>
    <w:rsid w:val="00CE08AF"/>
    <w:rsid w:val="00CE29B0"/>
    <w:rsid w:val="00CE6402"/>
    <w:rsid w:val="00CF4ACA"/>
    <w:rsid w:val="00D10386"/>
    <w:rsid w:val="00D122A0"/>
    <w:rsid w:val="00D172A6"/>
    <w:rsid w:val="00D22543"/>
    <w:rsid w:val="00D37B98"/>
    <w:rsid w:val="00D43951"/>
    <w:rsid w:val="00D65312"/>
    <w:rsid w:val="00D65878"/>
    <w:rsid w:val="00D72148"/>
    <w:rsid w:val="00D86F0C"/>
    <w:rsid w:val="00D87158"/>
    <w:rsid w:val="00D877E5"/>
    <w:rsid w:val="00D90522"/>
    <w:rsid w:val="00D95398"/>
    <w:rsid w:val="00DB08B6"/>
    <w:rsid w:val="00DB413C"/>
    <w:rsid w:val="00DB5574"/>
    <w:rsid w:val="00DC71D8"/>
    <w:rsid w:val="00DD3106"/>
    <w:rsid w:val="00E120B0"/>
    <w:rsid w:val="00E25F9A"/>
    <w:rsid w:val="00E43C40"/>
    <w:rsid w:val="00E45451"/>
    <w:rsid w:val="00E50A3B"/>
    <w:rsid w:val="00E64DBC"/>
    <w:rsid w:val="00E8221E"/>
    <w:rsid w:val="00EA0EEF"/>
    <w:rsid w:val="00EC69E2"/>
    <w:rsid w:val="00ED3F11"/>
    <w:rsid w:val="00ED53B0"/>
    <w:rsid w:val="00F037A1"/>
    <w:rsid w:val="00F039CD"/>
    <w:rsid w:val="00F23D2E"/>
    <w:rsid w:val="00F51A5A"/>
    <w:rsid w:val="00F631F2"/>
    <w:rsid w:val="00F7746D"/>
    <w:rsid w:val="00F8014D"/>
    <w:rsid w:val="00F97569"/>
    <w:rsid w:val="00F97A13"/>
    <w:rsid w:val="00FA07B6"/>
    <w:rsid w:val="00FB7217"/>
    <w:rsid w:val="00FC1177"/>
    <w:rsid w:val="00FC6238"/>
    <w:rsid w:val="00FC7EFD"/>
    <w:rsid w:val="00FD19D0"/>
    <w:rsid w:val="00FD3CCD"/>
    <w:rsid w:val="00FD6178"/>
    <w:rsid w:val="00FE5C5E"/>
    <w:rsid w:val="00FF24E1"/>
    <w:rsid w:val="00FF3435"/>
    <w:rsid w:val="00FF4E28"/>
    <w:rsid w:val="05CE32E5"/>
    <w:rsid w:val="0649703A"/>
    <w:rsid w:val="08AA2936"/>
    <w:rsid w:val="0A2945C3"/>
    <w:rsid w:val="0AE77571"/>
    <w:rsid w:val="0D415595"/>
    <w:rsid w:val="0DAF3BFD"/>
    <w:rsid w:val="0E68314E"/>
    <w:rsid w:val="103101B3"/>
    <w:rsid w:val="10AE5A5B"/>
    <w:rsid w:val="13DC3D21"/>
    <w:rsid w:val="146E45C0"/>
    <w:rsid w:val="168758CE"/>
    <w:rsid w:val="182A597D"/>
    <w:rsid w:val="1A2A40E2"/>
    <w:rsid w:val="1C9B70FD"/>
    <w:rsid w:val="1F216B04"/>
    <w:rsid w:val="21C66DDC"/>
    <w:rsid w:val="22924CEE"/>
    <w:rsid w:val="264B61DF"/>
    <w:rsid w:val="287B129E"/>
    <w:rsid w:val="28B0637B"/>
    <w:rsid w:val="2AF9318A"/>
    <w:rsid w:val="2C712A6B"/>
    <w:rsid w:val="2DF34CBF"/>
    <w:rsid w:val="2E8944E5"/>
    <w:rsid w:val="2F7F3075"/>
    <w:rsid w:val="313F7CB7"/>
    <w:rsid w:val="31982FBC"/>
    <w:rsid w:val="37645D42"/>
    <w:rsid w:val="3849458C"/>
    <w:rsid w:val="386128E5"/>
    <w:rsid w:val="386F334F"/>
    <w:rsid w:val="3EA44179"/>
    <w:rsid w:val="40AD3F63"/>
    <w:rsid w:val="4492405A"/>
    <w:rsid w:val="47AA1AFB"/>
    <w:rsid w:val="4A726867"/>
    <w:rsid w:val="4AC03EB7"/>
    <w:rsid w:val="4B014FEA"/>
    <w:rsid w:val="4BEF2CA4"/>
    <w:rsid w:val="4C1756EF"/>
    <w:rsid w:val="4C2213A9"/>
    <w:rsid w:val="4D5247CA"/>
    <w:rsid w:val="50157C52"/>
    <w:rsid w:val="51AB767D"/>
    <w:rsid w:val="523D5517"/>
    <w:rsid w:val="5434386B"/>
    <w:rsid w:val="566124A6"/>
    <w:rsid w:val="5DEE12AE"/>
    <w:rsid w:val="5EA6262E"/>
    <w:rsid w:val="66913013"/>
    <w:rsid w:val="66B07DA1"/>
    <w:rsid w:val="6A392CDE"/>
    <w:rsid w:val="6D6E7396"/>
    <w:rsid w:val="6F846CCA"/>
    <w:rsid w:val="760E760A"/>
    <w:rsid w:val="76C70154"/>
    <w:rsid w:val="7BC930A2"/>
    <w:rsid w:val="7D634176"/>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uiPriority="1" w:name="Default Paragraph Font"/>
    <w:lsdException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nhideWhenUsed="0" w:uiPriority="99" w:semiHidden="0" w:name="Date"/>
    <w:lsdException w:uiPriority="99" w:name="Body Text First Indent" w:locked="1"/>
    <w:lsdException w:qFormat="1" w:unhideWhenUsed="0" w:uiPriority="99" w:semiHidden="0" w:name="Body Text First Indent 2"/>
    <w:lsdException w:uiPriority="99" w:name="Note Heading" w:locked="1"/>
    <w:lsdException w:uiPriority="99" w:name="Body Text 2" w:locked="1"/>
    <w:lsdException w:uiPriority="99" w:name="Body Text 3" w:locked="1"/>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qFormat="1" w:unhideWhenUsed="0" w:uiPriority="99" w:name="Document Map"/>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sz w:val="24"/>
      <w:szCs w:val="24"/>
      <w:lang w:val="en-US" w:eastAsia="zh-CN" w:bidi="ar-SA"/>
    </w:rPr>
  </w:style>
  <w:style w:type="paragraph" w:styleId="2">
    <w:name w:val="heading 1"/>
    <w:basedOn w:val="1"/>
    <w:next w:val="1"/>
    <w:link w:val="35"/>
    <w:qFormat/>
    <w:uiPriority w:val="99"/>
    <w:pPr>
      <w:keepNext/>
      <w:keepLines/>
      <w:numPr>
        <w:ilvl w:val="0"/>
        <w:numId w:val="1"/>
      </w:numPr>
      <w:spacing w:before="340" w:after="330" w:line="578" w:lineRule="atLeast"/>
      <w:outlineLvl w:val="0"/>
    </w:pPr>
    <w:rPr>
      <w:b/>
      <w:bCs/>
      <w:kern w:val="44"/>
      <w:sz w:val="44"/>
      <w:szCs w:val="44"/>
    </w:rPr>
  </w:style>
  <w:style w:type="paragraph" w:styleId="3">
    <w:name w:val="heading 2"/>
    <w:basedOn w:val="1"/>
    <w:next w:val="1"/>
    <w:link w:val="36"/>
    <w:qFormat/>
    <w:uiPriority w:val="99"/>
    <w:pPr>
      <w:keepNext/>
      <w:keepLines/>
      <w:numPr>
        <w:ilvl w:val="1"/>
        <w:numId w:val="2"/>
      </w:numPr>
      <w:spacing w:before="260" w:after="260" w:line="416" w:lineRule="atLeast"/>
      <w:outlineLvl w:val="1"/>
    </w:pPr>
    <w:rPr>
      <w:rFonts w:ascii="Arial" w:hAnsi="Arial" w:eastAsia="黑体" w:cs="Arial"/>
      <w:b/>
      <w:bCs/>
      <w:sz w:val="32"/>
      <w:szCs w:val="32"/>
    </w:rPr>
  </w:style>
  <w:style w:type="paragraph" w:styleId="4">
    <w:name w:val="heading 3"/>
    <w:basedOn w:val="1"/>
    <w:next w:val="1"/>
    <w:link w:val="37"/>
    <w:qFormat/>
    <w:uiPriority w:val="99"/>
    <w:pPr>
      <w:keepNext/>
      <w:keepLines/>
      <w:adjustRightInd/>
      <w:spacing w:before="260" w:after="260" w:line="416" w:lineRule="auto"/>
      <w:jc w:val="both"/>
      <w:textAlignment w:val="auto"/>
      <w:outlineLvl w:val="2"/>
    </w:pPr>
    <w:rPr>
      <w:rFonts w:ascii="Calibri" w:hAnsi="Calibri" w:cs="Calibri"/>
      <w:b/>
      <w:bCs/>
      <w:kern w:val="2"/>
      <w:sz w:val="32"/>
      <w:szCs w:val="32"/>
    </w:rPr>
  </w:style>
  <w:style w:type="paragraph" w:styleId="5">
    <w:name w:val="heading 4"/>
    <w:basedOn w:val="1"/>
    <w:next w:val="1"/>
    <w:link w:val="38"/>
    <w:qFormat/>
    <w:uiPriority w:val="99"/>
    <w:pPr>
      <w:keepNext/>
      <w:keepLines/>
      <w:adjustRightInd/>
      <w:spacing w:before="280" w:after="290" w:line="376" w:lineRule="auto"/>
      <w:jc w:val="both"/>
      <w:textAlignment w:val="auto"/>
      <w:outlineLvl w:val="3"/>
    </w:pPr>
    <w:rPr>
      <w:rFonts w:ascii="Cambria" w:hAnsi="Cambria" w:cs="Cambria"/>
      <w:b/>
      <w:bCs/>
      <w:kern w:val="2"/>
      <w:sz w:val="28"/>
      <w:szCs w:val="28"/>
    </w:rPr>
  </w:style>
  <w:style w:type="paragraph" w:styleId="6">
    <w:name w:val="heading 5"/>
    <w:basedOn w:val="1"/>
    <w:next w:val="1"/>
    <w:link w:val="39"/>
    <w:qFormat/>
    <w:uiPriority w:val="99"/>
    <w:pPr>
      <w:keepNext/>
      <w:keepLines/>
      <w:adjustRightInd/>
      <w:spacing w:before="280" w:after="290" w:line="376" w:lineRule="auto"/>
      <w:jc w:val="both"/>
      <w:textAlignment w:val="auto"/>
      <w:outlineLvl w:val="4"/>
    </w:pPr>
    <w:rPr>
      <w:b/>
      <w:bCs/>
      <w:kern w:val="2"/>
      <w:sz w:val="28"/>
      <w:szCs w:val="28"/>
    </w:rPr>
  </w:style>
  <w:style w:type="character" w:default="1" w:styleId="31">
    <w:name w:val="Default Paragraph Font"/>
    <w:semiHidden/>
    <w:unhideWhenUsed/>
    <w:uiPriority w:val="1"/>
  </w:style>
  <w:style w:type="table" w:default="1" w:styleId="34">
    <w:name w:val="Normal Table"/>
    <w:semiHidden/>
    <w:unhideWhenUsed/>
    <w:qFormat/>
    <w:uiPriority w:val="99"/>
    <w:tblPr>
      <w:tblLayout w:type="fixed"/>
      <w:tblCellMar>
        <w:top w:w="0" w:type="dxa"/>
        <w:left w:w="108" w:type="dxa"/>
        <w:bottom w:w="0" w:type="dxa"/>
        <w:right w:w="108" w:type="dxa"/>
      </w:tblCellMar>
    </w:tblPr>
  </w:style>
  <w:style w:type="paragraph" w:styleId="7">
    <w:name w:val="annotation subject"/>
    <w:basedOn w:val="8"/>
    <w:next w:val="8"/>
    <w:link w:val="41"/>
    <w:semiHidden/>
    <w:qFormat/>
    <w:uiPriority w:val="99"/>
    <w:pPr>
      <w:adjustRightInd/>
      <w:spacing w:line="240" w:lineRule="auto"/>
      <w:textAlignment w:val="auto"/>
    </w:pPr>
    <w:rPr>
      <w:b/>
      <w:bCs/>
      <w:kern w:val="2"/>
      <w:sz w:val="21"/>
      <w:szCs w:val="21"/>
    </w:rPr>
  </w:style>
  <w:style w:type="paragraph" w:styleId="8">
    <w:name w:val="annotation text"/>
    <w:basedOn w:val="1"/>
    <w:link w:val="40"/>
    <w:semiHidden/>
    <w:qFormat/>
    <w:uiPriority w:val="99"/>
  </w:style>
  <w:style w:type="paragraph" w:styleId="9">
    <w:name w:val="toc 7"/>
    <w:basedOn w:val="1"/>
    <w:next w:val="1"/>
    <w:semiHidden/>
    <w:qFormat/>
    <w:uiPriority w:val="99"/>
    <w:pPr>
      <w:adjustRightInd/>
      <w:spacing w:line="240" w:lineRule="auto"/>
      <w:ind w:left="2520" w:leftChars="1200"/>
      <w:jc w:val="both"/>
      <w:textAlignment w:val="auto"/>
    </w:pPr>
    <w:rPr>
      <w:kern w:val="2"/>
      <w:sz w:val="21"/>
      <w:szCs w:val="21"/>
    </w:rPr>
  </w:style>
  <w:style w:type="paragraph" w:styleId="10">
    <w:name w:val="Normal Indent"/>
    <w:basedOn w:val="1"/>
    <w:qFormat/>
    <w:uiPriority w:val="99"/>
    <w:pPr>
      <w:widowControl/>
      <w:adjustRightInd/>
      <w:spacing w:line="240" w:lineRule="auto"/>
      <w:ind w:firstLine="420" w:firstLineChars="200"/>
      <w:textAlignment w:val="auto"/>
    </w:pPr>
    <w:rPr>
      <w:sz w:val="20"/>
      <w:szCs w:val="20"/>
    </w:rPr>
  </w:style>
  <w:style w:type="paragraph" w:styleId="11">
    <w:name w:val="Document Map"/>
    <w:basedOn w:val="1"/>
    <w:link w:val="42"/>
    <w:semiHidden/>
    <w:qFormat/>
    <w:uiPriority w:val="99"/>
    <w:pPr>
      <w:adjustRightInd/>
      <w:spacing w:line="240" w:lineRule="auto"/>
      <w:jc w:val="both"/>
      <w:textAlignment w:val="auto"/>
    </w:pPr>
    <w:rPr>
      <w:rFonts w:ascii="宋体" w:cs="宋体"/>
      <w:kern w:val="2"/>
      <w:sz w:val="18"/>
      <w:szCs w:val="18"/>
    </w:rPr>
  </w:style>
  <w:style w:type="paragraph" w:styleId="12">
    <w:name w:val="Body Text"/>
    <w:basedOn w:val="1"/>
    <w:link w:val="43"/>
    <w:uiPriority w:val="99"/>
    <w:pPr>
      <w:spacing w:after="120"/>
    </w:pPr>
  </w:style>
  <w:style w:type="paragraph" w:styleId="13">
    <w:name w:val="Body Text Indent"/>
    <w:basedOn w:val="1"/>
    <w:link w:val="44"/>
    <w:qFormat/>
    <w:uiPriority w:val="99"/>
    <w:pPr>
      <w:spacing w:line="240" w:lineRule="auto"/>
      <w:ind w:left="1104" w:leftChars="460"/>
    </w:pPr>
    <w:rPr>
      <w:rFonts w:ascii="宋体" w:hAnsi="宋体" w:cs="宋体"/>
    </w:rPr>
  </w:style>
  <w:style w:type="paragraph" w:styleId="14">
    <w:name w:val="toc 5"/>
    <w:basedOn w:val="1"/>
    <w:next w:val="1"/>
    <w:semiHidden/>
    <w:qFormat/>
    <w:uiPriority w:val="99"/>
    <w:pPr>
      <w:adjustRightInd/>
      <w:spacing w:line="240" w:lineRule="auto"/>
      <w:ind w:left="1680" w:leftChars="800"/>
      <w:jc w:val="both"/>
      <w:textAlignment w:val="auto"/>
    </w:pPr>
    <w:rPr>
      <w:kern w:val="2"/>
      <w:sz w:val="21"/>
      <w:szCs w:val="21"/>
    </w:rPr>
  </w:style>
  <w:style w:type="paragraph" w:styleId="15">
    <w:name w:val="toc 3"/>
    <w:basedOn w:val="1"/>
    <w:next w:val="1"/>
    <w:semiHidden/>
    <w:qFormat/>
    <w:uiPriority w:val="99"/>
    <w:pPr>
      <w:widowControl/>
      <w:adjustRightInd/>
      <w:spacing w:after="100" w:line="276" w:lineRule="auto"/>
      <w:ind w:left="440"/>
      <w:textAlignment w:val="auto"/>
    </w:pPr>
    <w:rPr>
      <w:rFonts w:ascii="Calibri" w:hAnsi="Calibri" w:cs="Calibri"/>
      <w:sz w:val="22"/>
      <w:szCs w:val="22"/>
    </w:rPr>
  </w:style>
  <w:style w:type="paragraph" w:styleId="16">
    <w:name w:val="Plain Text"/>
    <w:basedOn w:val="1"/>
    <w:link w:val="45"/>
    <w:qFormat/>
    <w:uiPriority w:val="99"/>
    <w:pPr>
      <w:adjustRightInd/>
      <w:spacing w:line="240" w:lineRule="auto"/>
      <w:jc w:val="both"/>
      <w:textAlignment w:val="auto"/>
    </w:pPr>
    <w:rPr>
      <w:rFonts w:ascii="宋体" w:hAnsi="Courier New" w:cs="宋体"/>
      <w:kern w:val="2"/>
      <w:sz w:val="21"/>
      <w:szCs w:val="21"/>
    </w:rPr>
  </w:style>
  <w:style w:type="paragraph" w:styleId="17">
    <w:name w:val="toc 8"/>
    <w:basedOn w:val="1"/>
    <w:next w:val="1"/>
    <w:semiHidden/>
    <w:qFormat/>
    <w:uiPriority w:val="99"/>
    <w:pPr>
      <w:adjustRightInd/>
      <w:spacing w:line="240" w:lineRule="auto"/>
      <w:ind w:left="2940" w:leftChars="1400"/>
      <w:jc w:val="both"/>
      <w:textAlignment w:val="auto"/>
    </w:pPr>
    <w:rPr>
      <w:kern w:val="2"/>
      <w:sz w:val="21"/>
      <w:szCs w:val="21"/>
    </w:rPr>
  </w:style>
  <w:style w:type="paragraph" w:styleId="18">
    <w:name w:val="Date"/>
    <w:basedOn w:val="1"/>
    <w:next w:val="1"/>
    <w:link w:val="46"/>
    <w:uiPriority w:val="99"/>
    <w:pPr>
      <w:adjustRightInd/>
      <w:spacing w:line="240" w:lineRule="auto"/>
      <w:ind w:left="100" w:leftChars="2500"/>
      <w:jc w:val="both"/>
      <w:textAlignment w:val="auto"/>
    </w:pPr>
    <w:rPr>
      <w:rFonts w:ascii="仿宋_GB2312" w:hAnsi="宋体" w:eastAsia="仿宋_GB2312" w:cs="仿宋_GB2312"/>
      <w:color w:val="000000"/>
      <w:kern w:val="2"/>
    </w:rPr>
  </w:style>
  <w:style w:type="paragraph" w:styleId="19">
    <w:name w:val="Body Text Indent 2"/>
    <w:basedOn w:val="1"/>
    <w:link w:val="47"/>
    <w:qFormat/>
    <w:uiPriority w:val="99"/>
    <w:pPr>
      <w:spacing w:line="240" w:lineRule="auto"/>
      <w:ind w:firstLine="586" w:firstLineChars="244"/>
    </w:pPr>
    <w:rPr>
      <w:rFonts w:ascii="宋体" w:hAnsi="宋体" w:cs="宋体"/>
    </w:rPr>
  </w:style>
  <w:style w:type="paragraph" w:styleId="20">
    <w:name w:val="Balloon Text"/>
    <w:basedOn w:val="1"/>
    <w:link w:val="48"/>
    <w:semiHidden/>
    <w:qFormat/>
    <w:uiPriority w:val="99"/>
    <w:pPr>
      <w:spacing w:line="240" w:lineRule="auto"/>
    </w:pPr>
    <w:rPr>
      <w:sz w:val="18"/>
      <w:szCs w:val="18"/>
    </w:rPr>
  </w:style>
  <w:style w:type="paragraph" w:styleId="21">
    <w:name w:val="footer"/>
    <w:basedOn w:val="1"/>
    <w:link w:val="49"/>
    <w:uiPriority w:val="99"/>
    <w:pPr>
      <w:tabs>
        <w:tab w:val="center" w:pos="4153"/>
        <w:tab w:val="right" w:pos="8306"/>
      </w:tabs>
      <w:snapToGrid w:val="0"/>
    </w:pPr>
    <w:rPr>
      <w:sz w:val="18"/>
      <w:szCs w:val="18"/>
    </w:rPr>
  </w:style>
  <w:style w:type="paragraph" w:styleId="22">
    <w:name w:val="Body Text First Indent 2"/>
    <w:basedOn w:val="13"/>
    <w:link w:val="50"/>
    <w:qFormat/>
    <w:uiPriority w:val="99"/>
    <w:pPr>
      <w:adjustRightInd/>
      <w:spacing w:after="120"/>
      <w:ind w:left="420" w:leftChars="200" w:firstLine="420" w:firstLineChars="200"/>
      <w:jc w:val="both"/>
      <w:textAlignment w:val="auto"/>
    </w:pPr>
    <w:rPr>
      <w:kern w:val="2"/>
    </w:rPr>
  </w:style>
  <w:style w:type="paragraph" w:styleId="23">
    <w:name w:val="header"/>
    <w:basedOn w:val="1"/>
    <w:link w:val="51"/>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szCs w:val="18"/>
    </w:rPr>
  </w:style>
  <w:style w:type="paragraph" w:styleId="24">
    <w:name w:val="toc 1"/>
    <w:basedOn w:val="1"/>
    <w:next w:val="1"/>
    <w:semiHidden/>
    <w:qFormat/>
    <w:uiPriority w:val="99"/>
    <w:pPr>
      <w:spacing w:line="420" w:lineRule="exact"/>
      <w:jc w:val="both"/>
    </w:pPr>
    <w:rPr>
      <w:rFonts w:ascii="宋体" w:hAnsi="宋体" w:cs="宋体"/>
    </w:rPr>
  </w:style>
  <w:style w:type="paragraph" w:styleId="25">
    <w:name w:val="toc 4"/>
    <w:basedOn w:val="1"/>
    <w:next w:val="1"/>
    <w:semiHidden/>
    <w:qFormat/>
    <w:uiPriority w:val="99"/>
    <w:pPr>
      <w:adjustRightInd/>
      <w:spacing w:line="240" w:lineRule="auto"/>
      <w:ind w:left="1260" w:leftChars="600"/>
      <w:jc w:val="both"/>
      <w:textAlignment w:val="auto"/>
    </w:pPr>
    <w:rPr>
      <w:kern w:val="2"/>
      <w:sz w:val="21"/>
      <w:szCs w:val="21"/>
    </w:rPr>
  </w:style>
  <w:style w:type="paragraph" w:styleId="26">
    <w:name w:val="toc 6"/>
    <w:basedOn w:val="1"/>
    <w:next w:val="1"/>
    <w:semiHidden/>
    <w:qFormat/>
    <w:uiPriority w:val="99"/>
    <w:pPr>
      <w:adjustRightInd/>
      <w:spacing w:line="240" w:lineRule="auto"/>
      <w:ind w:left="2100" w:leftChars="1000"/>
      <w:jc w:val="both"/>
      <w:textAlignment w:val="auto"/>
    </w:pPr>
    <w:rPr>
      <w:kern w:val="2"/>
      <w:sz w:val="21"/>
      <w:szCs w:val="21"/>
    </w:rPr>
  </w:style>
  <w:style w:type="paragraph" w:styleId="27">
    <w:name w:val="Body Text Indent 3"/>
    <w:basedOn w:val="1"/>
    <w:link w:val="52"/>
    <w:qFormat/>
    <w:uiPriority w:val="99"/>
    <w:pPr>
      <w:autoSpaceDE w:val="0"/>
      <w:autoSpaceDN w:val="0"/>
      <w:spacing w:before="120" w:line="22" w:lineRule="atLeast"/>
      <w:ind w:left="720" w:firstLine="480"/>
      <w:textAlignment w:val="auto"/>
    </w:pPr>
    <w:rPr>
      <w:rFonts w:ascii="宋体" w:cs="宋体"/>
    </w:rPr>
  </w:style>
  <w:style w:type="paragraph" w:styleId="28">
    <w:name w:val="toc 2"/>
    <w:basedOn w:val="1"/>
    <w:next w:val="1"/>
    <w:semiHidden/>
    <w:qFormat/>
    <w:uiPriority w:val="99"/>
    <w:pPr>
      <w:tabs>
        <w:tab w:val="right" w:leader="dot" w:pos="8890"/>
      </w:tabs>
      <w:ind w:left="960" w:leftChars="200" w:hanging="480"/>
    </w:pPr>
  </w:style>
  <w:style w:type="paragraph" w:styleId="29">
    <w:name w:val="toc 9"/>
    <w:basedOn w:val="1"/>
    <w:next w:val="1"/>
    <w:semiHidden/>
    <w:qFormat/>
    <w:uiPriority w:val="99"/>
    <w:pPr>
      <w:adjustRightInd/>
      <w:spacing w:line="240" w:lineRule="auto"/>
      <w:ind w:left="3360" w:leftChars="1600"/>
      <w:jc w:val="both"/>
      <w:textAlignment w:val="auto"/>
    </w:pPr>
    <w:rPr>
      <w:kern w:val="2"/>
      <w:sz w:val="21"/>
      <w:szCs w:val="21"/>
    </w:rPr>
  </w:style>
  <w:style w:type="paragraph" w:styleId="30">
    <w:name w:val="Title"/>
    <w:basedOn w:val="1"/>
    <w:next w:val="1"/>
    <w:link w:val="53"/>
    <w:qFormat/>
    <w:uiPriority w:val="99"/>
    <w:pPr>
      <w:widowControl/>
      <w:adjustRightInd/>
      <w:spacing w:before="240" w:after="60" w:line="240" w:lineRule="auto"/>
      <w:jc w:val="center"/>
      <w:textAlignment w:val="auto"/>
      <w:outlineLvl w:val="0"/>
    </w:pPr>
    <w:rPr>
      <w:rFonts w:ascii="Cambria" w:hAnsi="Cambria" w:cs="Cambria"/>
      <w:b/>
      <w:bCs/>
      <w:sz w:val="32"/>
      <w:szCs w:val="32"/>
      <w:lang w:eastAsia="en-US"/>
    </w:rPr>
  </w:style>
  <w:style w:type="character" w:styleId="32">
    <w:name w:val="page number"/>
    <w:basedOn w:val="31"/>
    <w:qFormat/>
    <w:uiPriority w:val="99"/>
  </w:style>
  <w:style w:type="character" w:styleId="33">
    <w:name w:val="Hyperlink"/>
    <w:basedOn w:val="31"/>
    <w:qFormat/>
    <w:uiPriority w:val="99"/>
    <w:rPr>
      <w:color w:val="0000FF"/>
      <w:u w:val="single"/>
    </w:rPr>
  </w:style>
  <w:style w:type="character" w:customStyle="1" w:styleId="35">
    <w:name w:val="标题 1 Char"/>
    <w:basedOn w:val="31"/>
    <w:link w:val="2"/>
    <w:qFormat/>
    <w:locked/>
    <w:uiPriority w:val="99"/>
    <w:rPr>
      <w:b/>
      <w:bCs/>
      <w:kern w:val="44"/>
      <w:sz w:val="44"/>
      <w:szCs w:val="44"/>
    </w:rPr>
  </w:style>
  <w:style w:type="character" w:customStyle="1" w:styleId="36">
    <w:name w:val="标题 2 Char"/>
    <w:basedOn w:val="31"/>
    <w:link w:val="3"/>
    <w:qFormat/>
    <w:locked/>
    <w:uiPriority w:val="99"/>
    <w:rPr>
      <w:rFonts w:ascii="Arial" w:hAnsi="Arial" w:eastAsia="黑体" w:cs="Arial"/>
      <w:b/>
      <w:bCs/>
      <w:sz w:val="32"/>
      <w:szCs w:val="32"/>
    </w:rPr>
  </w:style>
  <w:style w:type="character" w:customStyle="1" w:styleId="37">
    <w:name w:val="标题 3 Char"/>
    <w:basedOn w:val="31"/>
    <w:link w:val="4"/>
    <w:qFormat/>
    <w:locked/>
    <w:uiPriority w:val="99"/>
    <w:rPr>
      <w:rFonts w:ascii="Calibri" w:hAnsi="Calibri" w:cs="Calibri"/>
      <w:b/>
      <w:bCs/>
      <w:kern w:val="2"/>
      <w:sz w:val="32"/>
      <w:szCs w:val="32"/>
    </w:rPr>
  </w:style>
  <w:style w:type="character" w:customStyle="1" w:styleId="38">
    <w:name w:val="标题 4 Char"/>
    <w:basedOn w:val="31"/>
    <w:link w:val="5"/>
    <w:qFormat/>
    <w:locked/>
    <w:uiPriority w:val="99"/>
    <w:rPr>
      <w:rFonts w:ascii="Cambria" w:hAnsi="Cambria" w:cs="Cambria"/>
      <w:b/>
      <w:bCs/>
      <w:kern w:val="2"/>
      <w:sz w:val="28"/>
      <w:szCs w:val="28"/>
    </w:rPr>
  </w:style>
  <w:style w:type="character" w:customStyle="1" w:styleId="39">
    <w:name w:val="标题 5 Char"/>
    <w:basedOn w:val="31"/>
    <w:link w:val="6"/>
    <w:qFormat/>
    <w:locked/>
    <w:uiPriority w:val="99"/>
    <w:rPr>
      <w:b/>
      <w:bCs/>
      <w:kern w:val="2"/>
      <w:sz w:val="28"/>
      <w:szCs w:val="28"/>
    </w:rPr>
  </w:style>
  <w:style w:type="character" w:customStyle="1" w:styleId="40">
    <w:name w:val="批注文字 Char"/>
    <w:basedOn w:val="31"/>
    <w:link w:val="8"/>
    <w:semiHidden/>
    <w:qFormat/>
    <w:locked/>
    <w:uiPriority w:val="99"/>
    <w:rPr>
      <w:sz w:val="24"/>
      <w:szCs w:val="24"/>
    </w:rPr>
  </w:style>
  <w:style w:type="character" w:customStyle="1" w:styleId="41">
    <w:name w:val="批注主题 Char"/>
    <w:basedOn w:val="40"/>
    <w:link w:val="7"/>
    <w:semiHidden/>
    <w:qFormat/>
    <w:locked/>
    <w:uiPriority w:val="99"/>
    <w:rPr>
      <w:b/>
      <w:bCs/>
      <w:kern w:val="2"/>
    </w:rPr>
  </w:style>
  <w:style w:type="character" w:customStyle="1" w:styleId="42">
    <w:name w:val="文档结构图 Char"/>
    <w:basedOn w:val="31"/>
    <w:link w:val="11"/>
    <w:qFormat/>
    <w:locked/>
    <w:uiPriority w:val="99"/>
    <w:rPr>
      <w:rFonts w:ascii="宋体" w:cs="宋体"/>
      <w:kern w:val="2"/>
      <w:sz w:val="18"/>
      <w:szCs w:val="18"/>
    </w:rPr>
  </w:style>
  <w:style w:type="character" w:customStyle="1" w:styleId="43">
    <w:name w:val="正文文本 Char"/>
    <w:basedOn w:val="31"/>
    <w:link w:val="12"/>
    <w:semiHidden/>
    <w:qFormat/>
    <w:uiPriority w:val="99"/>
    <w:rPr>
      <w:kern w:val="0"/>
      <w:sz w:val="24"/>
      <w:szCs w:val="24"/>
    </w:rPr>
  </w:style>
  <w:style w:type="character" w:customStyle="1" w:styleId="44">
    <w:name w:val="正文文本缩进 Char"/>
    <w:basedOn w:val="31"/>
    <w:link w:val="13"/>
    <w:qFormat/>
    <w:locked/>
    <w:uiPriority w:val="99"/>
    <w:rPr>
      <w:rFonts w:ascii="宋体" w:eastAsia="宋体" w:cs="宋体"/>
      <w:sz w:val="24"/>
      <w:szCs w:val="24"/>
    </w:rPr>
  </w:style>
  <w:style w:type="character" w:customStyle="1" w:styleId="45">
    <w:name w:val="纯文本 Char"/>
    <w:basedOn w:val="31"/>
    <w:link w:val="16"/>
    <w:qFormat/>
    <w:locked/>
    <w:uiPriority w:val="99"/>
    <w:rPr>
      <w:rFonts w:ascii="宋体" w:hAnsi="Courier New" w:cs="宋体"/>
      <w:kern w:val="2"/>
      <w:sz w:val="21"/>
      <w:szCs w:val="21"/>
    </w:rPr>
  </w:style>
  <w:style w:type="character" w:customStyle="1" w:styleId="46">
    <w:name w:val="日期 Char"/>
    <w:basedOn w:val="31"/>
    <w:link w:val="18"/>
    <w:qFormat/>
    <w:locked/>
    <w:uiPriority w:val="99"/>
    <w:rPr>
      <w:rFonts w:ascii="仿宋_GB2312" w:hAnsi="宋体" w:eastAsia="仿宋_GB2312" w:cs="仿宋_GB2312"/>
      <w:color w:val="000000"/>
      <w:kern w:val="2"/>
      <w:sz w:val="24"/>
      <w:szCs w:val="24"/>
    </w:rPr>
  </w:style>
  <w:style w:type="character" w:customStyle="1" w:styleId="47">
    <w:name w:val="正文文本缩进 2 Char"/>
    <w:basedOn w:val="31"/>
    <w:link w:val="19"/>
    <w:qFormat/>
    <w:locked/>
    <w:uiPriority w:val="99"/>
    <w:rPr>
      <w:rFonts w:ascii="宋体" w:eastAsia="宋体" w:cs="宋体"/>
      <w:sz w:val="24"/>
      <w:szCs w:val="24"/>
    </w:rPr>
  </w:style>
  <w:style w:type="character" w:customStyle="1" w:styleId="48">
    <w:name w:val="批注框文本 Char"/>
    <w:basedOn w:val="31"/>
    <w:link w:val="20"/>
    <w:locked/>
    <w:uiPriority w:val="99"/>
    <w:rPr>
      <w:sz w:val="18"/>
      <w:szCs w:val="18"/>
    </w:rPr>
  </w:style>
  <w:style w:type="character" w:customStyle="1" w:styleId="49">
    <w:name w:val="页脚 Char"/>
    <w:basedOn w:val="31"/>
    <w:link w:val="21"/>
    <w:qFormat/>
    <w:locked/>
    <w:uiPriority w:val="99"/>
    <w:rPr>
      <w:sz w:val="18"/>
      <w:szCs w:val="18"/>
    </w:rPr>
  </w:style>
  <w:style w:type="character" w:customStyle="1" w:styleId="50">
    <w:name w:val="正文首行缩进 2 Char"/>
    <w:basedOn w:val="44"/>
    <w:link w:val="22"/>
    <w:locked/>
    <w:uiPriority w:val="99"/>
    <w:rPr>
      <w:kern w:val="2"/>
    </w:rPr>
  </w:style>
  <w:style w:type="character" w:customStyle="1" w:styleId="51">
    <w:name w:val="页眉 Char"/>
    <w:basedOn w:val="31"/>
    <w:link w:val="23"/>
    <w:qFormat/>
    <w:locked/>
    <w:uiPriority w:val="99"/>
    <w:rPr>
      <w:sz w:val="18"/>
      <w:szCs w:val="18"/>
    </w:rPr>
  </w:style>
  <w:style w:type="character" w:customStyle="1" w:styleId="52">
    <w:name w:val="正文文本缩进 3 Char"/>
    <w:basedOn w:val="31"/>
    <w:link w:val="27"/>
    <w:qFormat/>
    <w:locked/>
    <w:uiPriority w:val="99"/>
    <w:rPr>
      <w:rFonts w:ascii="宋体" w:cs="宋体"/>
      <w:sz w:val="24"/>
      <w:szCs w:val="24"/>
    </w:rPr>
  </w:style>
  <w:style w:type="character" w:customStyle="1" w:styleId="53">
    <w:name w:val="标题 Char"/>
    <w:basedOn w:val="31"/>
    <w:link w:val="30"/>
    <w:qFormat/>
    <w:locked/>
    <w:uiPriority w:val="99"/>
    <w:rPr>
      <w:rFonts w:ascii="Cambria" w:hAnsi="Cambria" w:cs="Cambria"/>
      <w:b/>
      <w:bCs/>
      <w:sz w:val="32"/>
      <w:szCs w:val="32"/>
      <w:lang w:eastAsia="en-US"/>
    </w:rPr>
  </w:style>
  <w:style w:type="character" w:customStyle="1" w:styleId="54">
    <w:name w:val="页码1"/>
    <w:qFormat/>
    <w:uiPriority w:val="99"/>
    <w:rPr>
      <w:color w:val="000000"/>
      <w:sz w:val="20"/>
      <w:szCs w:val="20"/>
    </w:rPr>
  </w:style>
  <w:style w:type="character" w:customStyle="1" w:styleId="55">
    <w:name w:val="font31"/>
    <w:qFormat/>
    <w:uiPriority w:val="99"/>
    <w:rPr>
      <w:rFonts w:ascii="宋体" w:hAnsi="宋体" w:eastAsia="宋体" w:cs="宋体"/>
      <w:color w:val="FF0000"/>
      <w:sz w:val="20"/>
      <w:szCs w:val="20"/>
      <w:u w:val="none"/>
    </w:rPr>
  </w:style>
  <w:style w:type="character" w:customStyle="1" w:styleId="56">
    <w:name w:val="！alt+i Char"/>
    <w:qFormat/>
    <w:uiPriority w:val="99"/>
    <w:rPr>
      <w:rFonts w:ascii="Lucida Grande" w:hAnsi="Lucida Grande" w:eastAsia="ヒラギノ角ゴ Pro W3" w:cs="Lucida Grande"/>
      <w:b/>
      <w:bCs/>
      <w:color w:val="000000"/>
      <w:kern w:val="2"/>
      <w:sz w:val="28"/>
      <w:szCs w:val="28"/>
      <w:u w:val="single"/>
    </w:rPr>
  </w:style>
  <w:style w:type="character" w:customStyle="1" w:styleId="57">
    <w:name w:val="标准正文 Char"/>
    <w:link w:val="58"/>
    <w:locked/>
    <w:uiPriority w:val="99"/>
    <w:rPr>
      <w:rFonts w:ascii="宋体" w:eastAsia="宋体" w:cs="宋体"/>
      <w:kern w:val="2"/>
      <w:sz w:val="24"/>
      <w:szCs w:val="24"/>
    </w:rPr>
  </w:style>
  <w:style w:type="paragraph" w:customStyle="1" w:styleId="58">
    <w:name w:val="标准正文"/>
    <w:basedOn w:val="13"/>
    <w:link w:val="57"/>
    <w:qFormat/>
    <w:uiPriority w:val="99"/>
    <w:pPr>
      <w:adjustRightInd/>
      <w:spacing w:before="60" w:after="60" w:line="360" w:lineRule="auto"/>
      <w:ind w:left="0" w:leftChars="0" w:firstLine="482"/>
      <w:jc w:val="both"/>
      <w:textAlignment w:val="auto"/>
    </w:pPr>
    <w:rPr>
      <w:rFonts w:hAnsi="Times New Roman" w:cs="Times New Roman"/>
      <w:kern w:val="2"/>
    </w:rPr>
  </w:style>
  <w:style w:type="character" w:customStyle="1" w:styleId="59">
    <w:name w:val="font41"/>
    <w:qFormat/>
    <w:uiPriority w:val="99"/>
    <w:rPr>
      <w:rFonts w:ascii="Arial" w:hAnsi="Arial" w:cs="Arial"/>
      <w:color w:val="000000"/>
      <w:sz w:val="20"/>
      <w:szCs w:val="20"/>
      <w:u w:val="none"/>
    </w:rPr>
  </w:style>
  <w:style w:type="character" w:customStyle="1" w:styleId="60">
    <w:name w:val="正文 +正文:小4 Char"/>
    <w:link w:val="61"/>
    <w:qFormat/>
    <w:locked/>
    <w:uiPriority w:val="99"/>
    <w:rPr>
      <w:rFonts w:eastAsia="仿宋_GB2312"/>
      <w:sz w:val="28"/>
      <w:szCs w:val="28"/>
    </w:rPr>
  </w:style>
  <w:style w:type="paragraph" w:customStyle="1" w:styleId="61">
    <w:name w:val="首行缩进:  2 字符"/>
    <w:basedOn w:val="1"/>
    <w:link w:val="60"/>
    <w:qFormat/>
    <w:uiPriority w:val="99"/>
    <w:pPr>
      <w:adjustRightInd/>
      <w:spacing w:line="360" w:lineRule="auto"/>
      <w:ind w:firstLine="200" w:firstLineChars="200"/>
      <w:jc w:val="both"/>
      <w:textAlignment w:val="auto"/>
    </w:pPr>
    <w:rPr>
      <w:rFonts w:eastAsia="仿宋_GB2312"/>
      <w:sz w:val="28"/>
      <w:szCs w:val="28"/>
    </w:rPr>
  </w:style>
  <w:style w:type="character" w:customStyle="1" w:styleId="62">
    <w:name w:val="font51"/>
    <w:qFormat/>
    <w:uiPriority w:val="99"/>
    <w:rPr>
      <w:rFonts w:ascii="Arial" w:hAnsi="Arial" w:cs="Arial"/>
      <w:color w:val="FF0000"/>
      <w:sz w:val="20"/>
      <w:szCs w:val="20"/>
      <w:u w:val="none"/>
    </w:rPr>
  </w:style>
  <w:style w:type="character" w:customStyle="1" w:styleId="63">
    <w:name w:val="正文文本缩进 Char1"/>
    <w:uiPriority w:val="99"/>
    <w:rPr>
      <w:kern w:val="2"/>
      <w:sz w:val="24"/>
      <w:szCs w:val="24"/>
    </w:rPr>
  </w:style>
  <w:style w:type="character" w:customStyle="1" w:styleId="64">
    <w:name w:val="font11"/>
    <w:qFormat/>
    <w:uiPriority w:val="99"/>
    <w:rPr>
      <w:rFonts w:ascii="宋体" w:hAnsi="宋体" w:eastAsia="宋体" w:cs="宋体"/>
      <w:color w:val="000000"/>
      <w:sz w:val="20"/>
      <w:szCs w:val="20"/>
      <w:u w:val="none"/>
    </w:rPr>
  </w:style>
  <w:style w:type="character" w:customStyle="1" w:styleId="65">
    <w:name w:val="样式1 Char"/>
    <w:link w:val="66"/>
    <w:qFormat/>
    <w:locked/>
    <w:uiPriority w:val="99"/>
    <w:rPr>
      <w:rFonts w:ascii="宋体" w:eastAsia="宋体" w:cs="宋体"/>
      <w:sz w:val="21"/>
      <w:szCs w:val="21"/>
    </w:rPr>
  </w:style>
  <w:style w:type="paragraph" w:customStyle="1" w:styleId="66">
    <w:name w:val="样式1"/>
    <w:basedOn w:val="1"/>
    <w:link w:val="65"/>
    <w:qFormat/>
    <w:uiPriority w:val="99"/>
    <w:pPr>
      <w:numPr>
        <w:ilvl w:val="0"/>
        <w:numId w:val="3"/>
      </w:numPr>
      <w:spacing w:line="240" w:lineRule="auto"/>
      <w:jc w:val="both"/>
    </w:pPr>
    <w:rPr>
      <w:rFonts w:ascii="宋体"/>
      <w:sz w:val="21"/>
      <w:szCs w:val="21"/>
    </w:rPr>
  </w:style>
  <w:style w:type="character" w:customStyle="1" w:styleId="67">
    <w:name w:val="楷体 (中文) 楷体"/>
    <w:qFormat/>
    <w:uiPriority w:val="99"/>
    <w:rPr>
      <w:rFonts w:ascii="楷体" w:hAnsi="楷体" w:eastAsia="楷体" w:cs="楷体"/>
      <w:kern w:val="1"/>
      <w:sz w:val="28"/>
      <w:szCs w:val="28"/>
    </w:rPr>
  </w:style>
  <w:style w:type="character" w:customStyle="1" w:styleId="68">
    <w:name w:val="列出段落 Char"/>
    <w:link w:val="69"/>
    <w:qFormat/>
    <w:locked/>
    <w:uiPriority w:val="99"/>
    <w:rPr>
      <w:rFonts w:ascii="Calibri" w:hAnsi="Calibri" w:cs="Calibri"/>
      <w:kern w:val="2"/>
      <w:sz w:val="22"/>
      <w:szCs w:val="22"/>
    </w:rPr>
  </w:style>
  <w:style w:type="paragraph" w:customStyle="1" w:styleId="69">
    <w:name w:val="列出段落1"/>
    <w:basedOn w:val="1"/>
    <w:link w:val="68"/>
    <w:qFormat/>
    <w:uiPriority w:val="99"/>
    <w:pPr>
      <w:adjustRightInd/>
      <w:spacing w:line="240" w:lineRule="auto"/>
      <w:ind w:firstLine="420" w:firstLineChars="200"/>
      <w:jc w:val="both"/>
      <w:textAlignment w:val="auto"/>
    </w:pPr>
    <w:rPr>
      <w:rFonts w:ascii="Calibri" w:hAnsi="Calibri"/>
      <w:kern w:val="2"/>
      <w:sz w:val="22"/>
      <w:szCs w:val="22"/>
    </w:rPr>
  </w:style>
  <w:style w:type="character" w:customStyle="1" w:styleId="70">
    <w:name w:val="font01"/>
    <w:qFormat/>
    <w:uiPriority w:val="99"/>
    <w:rPr>
      <w:rFonts w:ascii="Arial" w:hAnsi="Arial" w:cs="Arial"/>
      <w:color w:val="000000"/>
      <w:sz w:val="20"/>
      <w:szCs w:val="20"/>
      <w:u w:val="none"/>
    </w:rPr>
  </w:style>
  <w:style w:type="character" w:customStyle="1" w:styleId="71">
    <w:name w:val="font21"/>
    <w:uiPriority w:val="99"/>
    <w:rPr>
      <w:rFonts w:ascii="Arial" w:hAnsi="Arial" w:cs="Arial"/>
      <w:color w:val="FF0000"/>
      <w:sz w:val="20"/>
      <w:szCs w:val="20"/>
      <w:u w:val="none"/>
    </w:rPr>
  </w:style>
  <w:style w:type="paragraph" w:customStyle="1" w:styleId="72">
    <w:name w:val="Char Char Char Char Char Char1 Char Char Char Char Char Char1 Char Char Char Char1"/>
    <w:basedOn w:val="1"/>
    <w:qFormat/>
    <w:uiPriority w:val="99"/>
    <w:pPr>
      <w:adjustRightInd/>
      <w:spacing w:line="240" w:lineRule="auto"/>
      <w:jc w:val="both"/>
      <w:textAlignment w:val="auto"/>
    </w:pPr>
    <w:rPr>
      <w:rFonts w:ascii="Tahoma" w:hAnsi="Tahoma" w:cs="Tahoma"/>
      <w:kern w:val="2"/>
    </w:rPr>
  </w:style>
  <w:style w:type="paragraph" w:customStyle="1" w:styleId="73">
    <w:name w:val="彩色列表 - 强调文字颜色 11"/>
    <w:basedOn w:val="1"/>
    <w:qFormat/>
    <w:uiPriority w:val="99"/>
    <w:pPr>
      <w:adjustRightInd/>
      <w:spacing w:line="240" w:lineRule="auto"/>
      <w:ind w:firstLine="420" w:firstLineChars="200"/>
      <w:jc w:val="both"/>
      <w:textAlignment w:val="auto"/>
    </w:pPr>
    <w:rPr>
      <w:kern w:val="2"/>
      <w:sz w:val="21"/>
      <w:szCs w:val="21"/>
    </w:rPr>
  </w:style>
  <w:style w:type="paragraph" w:customStyle="1" w:styleId="74">
    <w:name w:val="WW-正文文本缩进 3"/>
    <w:basedOn w:val="1"/>
    <w:qFormat/>
    <w:uiPriority w:val="99"/>
    <w:pPr>
      <w:suppressAutoHyphens/>
      <w:adjustRightInd/>
      <w:spacing w:line="240" w:lineRule="auto"/>
      <w:ind w:firstLine="570"/>
      <w:jc w:val="both"/>
      <w:textAlignment w:val="auto"/>
    </w:pPr>
    <w:rPr>
      <w:rFonts w:ascii="仿宋_GB2312" w:hAnsi="仿宋_GB2312" w:eastAsia="仿宋_GB2312" w:cs="仿宋_GB2312"/>
      <w:b/>
      <w:bCs/>
      <w:kern w:val="1"/>
      <w:lang w:eastAsia="ar-SA"/>
    </w:rPr>
  </w:style>
  <w:style w:type="paragraph" w:customStyle="1" w:styleId="75">
    <w:name w:val="MM Topic 2"/>
    <w:basedOn w:val="3"/>
    <w:qFormat/>
    <w:uiPriority w:val="99"/>
    <w:pPr>
      <w:numPr>
        <w:numId w:val="4"/>
      </w:numPr>
      <w:tabs>
        <w:tab w:val="left" w:pos="425"/>
      </w:tabs>
      <w:autoSpaceDE w:val="0"/>
      <w:autoSpaceDN w:val="0"/>
      <w:adjustRightInd/>
      <w:spacing w:line="416" w:lineRule="auto"/>
      <w:ind w:left="0"/>
      <w:jc w:val="both"/>
      <w:textAlignment w:val="auto"/>
    </w:pPr>
  </w:style>
  <w:style w:type="paragraph" w:customStyle="1" w:styleId="76">
    <w:name w:val="目录标题"/>
    <w:basedOn w:val="2"/>
    <w:next w:val="1"/>
    <w:qFormat/>
    <w:uiPriority w:val="99"/>
    <w:pPr>
      <w:widowControl/>
      <w:numPr>
        <w:numId w:val="0"/>
      </w:numPr>
      <w:adjustRightInd/>
      <w:spacing w:before="480" w:after="0" w:line="276" w:lineRule="auto"/>
      <w:textAlignment w:val="auto"/>
      <w:outlineLvl w:val="9"/>
    </w:pPr>
    <w:rPr>
      <w:rFonts w:ascii="Cambria" w:hAnsi="Cambria" w:cs="Cambria"/>
      <w:color w:val="365F91"/>
      <w:kern w:val="0"/>
      <w:sz w:val="28"/>
      <w:szCs w:val="28"/>
    </w:rPr>
  </w:style>
  <w:style w:type="paragraph" w:customStyle="1" w:styleId="77">
    <w:name w:val="tabletext"/>
    <w:basedOn w:val="1"/>
    <w:qFormat/>
    <w:uiPriority w:val="99"/>
    <w:pPr>
      <w:widowControl/>
      <w:adjustRightInd/>
      <w:spacing w:before="100" w:beforeAutospacing="1" w:after="100" w:afterAutospacing="1" w:line="240" w:lineRule="auto"/>
      <w:textAlignment w:val="auto"/>
    </w:pPr>
    <w:rPr>
      <w:rFonts w:ascii="宋体" w:hAnsi="宋体" w:cs="宋体"/>
    </w:rPr>
  </w:style>
  <w:style w:type="paragraph" w:customStyle="1" w:styleId="78">
    <w:name w:val="Char"/>
    <w:basedOn w:val="1"/>
    <w:qFormat/>
    <w:uiPriority w:val="99"/>
    <w:pPr>
      <w:adjustRightInd/>
      <w:spacing w:line="240" w:lineRule="auto"/>
      <w:jc w:val="both"/>
      <w:textAlignment w:val="auto"/>
    </w:pPr>
    <w:rPr>
      <w:kern w:val="2"/>
      <w:sz w:val="21"/>
      <w:szCs w:val="21"/>
    </w:rPr>
  </w:style>
  <w:style w:type="paragraph" w:customStyle="1" w:styleId="79">
    <w:name w:val="样式 标题 2 + 宋体 五号 非加粗 黑色"/>
    <w:qFormat/>
    <w:uiPriority w:val="99"/>
    <w:pPr>
      <w:keepNext/>
      <w:keepLines/>
      <w:widowControl w:val="0"/>
      <w:spacing w:before="260" w:after="260" w:line="416" w:lineRule="atLeast"/>
      <w:outlineLvl w:val="1"/>
    </w:pPr>
    <w:rPr>
      <w:rFonts w:ascii="Lucida Grande" w:hAnsi="Lucida Grande" w:eastAsia="ヒラギノ角ゴ Pro W3" w:cs="Lucida Grande"/>
      <w:color w:val="000000"/>
      <w:sz w:val="21"/>
      <w:szCs w:val="21"/>
      <w:lang w:val="en-US" w:eastAsia="zh-CN" w:bidi="ar-SA"/>
    </w:rPr>
  </w:style>
  <w:style w:type="paragraph" w:customStyle="1" w:styleId="80">
    <w:name w:val="p0"/>
    <w:basedOn w:val="1"/>
    <w:qFormat/>
    <w:uiPriority w:val="99"/>
    <w:pPr>
      <w:widowControl/>
      <w:adjustRightInd/>
      <w:spacing w:line="240" w:lineRule="auto"/>
      <w:textAlignment w:val="auto"/>
    </w:pPr>
    <w:rPr>
      <w:sz w:val="21"/>
      <w:szCs w:val="21"/>
    </w:rPr>
  </w:style>
  <w:style w:type="paragraph" w:customStyle="1" w:styleId="81">
    <w:name w:val="MM Topic 1"/>
    <w:basedOn w:val="2"/>
    <w:next w:val="1"/>
    <w:qFormat/>
    <w:uiPriority w:val="99"/>
    <w:pPr>
      <w:numPr>
        <w:numId w:val="4"/>
      </w:numPr>
      <w:tabs>
        <w:tab w:val="left" w:pos="425"/>
      </w:tabs>
      <w:autoSpaceDE w:val="0"/>
      <w:autoSpaceDN w:val="0"/>
      <w:adjustRightInd/>
      <w:spacing w:line="578" w:lineRule="auto"/>
      <w:ind w:left="0" w:firstLine="0"/>
      <w:jc w:val="both"/>
      <w:textAlignment w:val="auto"/>
    </w:pPr>
  </w:style>
  <w:style w:type="paragraph" w:customStyle="1" w:styleId="82">
    <w:name w:val="！alt+w"/>
    <w:uiPriority w:val="99"/>
    <w:pPr>
      <w:widowControl w:val="0"/>
    </w:pPr>
    <w:rPr>
      <w:rFonts w:ascii="Lucida Grande" w:hAnsi="Lucida Grande" w:eastAsia="ヒラギノ角ゴ Pro W3" w:cs="Lucida Grande"/>
      <w:color w:val="000000"/>
      <w:sz w:val="24"/>
      <w:szCs w:val="24"/>
      <w:lang w:val="en-US" w:eastAsia="zh-CN" w:bidi="ar-SA"/>
    </w:rPr>
  </w:style>
  <w:style w:type="paragraph" w:customStyle="1" w:styleId="83">
    <w:name w:val="MM Topic 3"/>
    <w:basedOn w:val="4"/>
    <w:qFormat/>
    <w:uiPriority w:val="99"/>
    <w:pPr>
      <w:numPr>
        <w:ilvl w:val="2"/>
        <w:numId w:val="4"/>
      </w:numPr>
      <w:tabs>
        <w:tab w:val="left" w:pos="425"/>
      </w:tabs>
      <w:autoSpaceDE w:val="0"/>
      <w:autoSpaceDN w:val="0"/>
    </w:pPr>
    <w:rPr>
      <w:rFonts w:ascii="Times New Roman" w:hAnsi="Times New Roman" w:cs="Times New Roman"/>
    </w:rPr>
  </w:style>
  <w:style w:type="paragraph" w:customStyle="1" w:styleId="84">
    <w:name w:val="正文文本1"/>
    <w:qFormat/>
    <w:uiPriority w:val="99"/>
    <w:pPr>
      <w:widowControl w:val="0"/>
      <w:tabs>
        <w:tab w:val="left" w:pos="567"/>
      </w:tabs>
      <w:spacing w:before="120" w:line="22" w:lineRule="atLeast"/>
      <w:jc w:val="both"/>
    </w:pPr>
    <w:rPr>
      <w:rFonts w:ascii="Lucida Grande" w:hAnsi="Lucida Grande" w:eastAsia="ヒラギノ角ゴ Pro W3" w:cs="Lucida Grande"/>
      <w:color w:val="000000"/>
      <w:kern w:val="2"/>
      <w:sz w:val="24"/>
      <w:szCs w:val="24"/>
      <w:lang w:val="en-US" w:eastAsia="zh-CN" w:bidi="ar-SA"/>
    </w:rPr>
  </w:style>
  <w:style w:type="paragraph" w:customStyle="1" w:styleId="85">
    <w:name w:val="Char Char Char Char Char Char1 Char Char Char Char Char Char1 Char Char Char Char"/>
    <w:basedOn w:val="1"/>
    <w:uiPriority w:val="99"/>
    <w:pPr>
      <w:adjustRightInd/>
      <w:spacing w:line="240" w:lineRule="auto"/>
      <w:jc w:val="both"/>
      <w:textAlignment w:val="auto"/>
    </w:pPr>
    <w:rPr>
      <w:rFonts w:ascii="Tahoma" w:hAnsi="Tahoma" w:cs="Tahoma"/>
      <w:kern w:val="2"/>
    </w:rPr>
  </w:style>
  <w:style w:type="paragraph" w:customStyle="1" w:styleId="86">
    <w:name w:val="纯文本1"/>
    <w:qFormat/>
    <w:uiPriority w:val="99"/>
    <w:pPr>
      <w:widowControl w:val="0"/>
      <w:jc w:val="both"/>
    </w:pPr>
    <w:rPr>
      <w:rFonts w:ascii="Lucida Grande" w:hAnsi="Lucida Grande" w:eastAsia="ヒラギノ角ゴ Pro W3" w:cs="Lucida Grande"/>
      <w:color w:val="000000"/>
      <w:kern w:val="2"/>
      <w:sz w:val="21"/>
      <w:szCs w:val="21"/>
      <w:lang w:val="en-US" w:eastAsia="zh-CN" w:bidi="ar-SA"/>
    </w:rPr>
  </w:style>
  <w:style w:type="paragraph" w:customStyle="1" w:styleId="87">
    <w:name w:val="WW-纯文本"/>
    <w:basedOn w:val="1"/>
    <w:qFormat/>
    <w:uiPriority w:val="99"/>
    <w:pPr>
      <w:suppressAutoHyphens/>
      <w:adjustRightInd/>
      <w:spacing w:line="240" w:lineRule="auto"/>
      <w:jc w:val="both"/>
      <w:textAlignment w:val="auto"/>
    </w:pPr>
    <w:rPr>
      <w:rFonts w:ascii="宋体" w:hAnsi="宋体" w:cs="宋体"/>
      <w:kern w:val="1"/>
      <w:sz w:val="21"/>
      <w:szCs w:val="21"/>
      <w:lang w:eastAsia="ar-SA"/>
    </w:rPr>
  </w:style>
  <w:style w:type="paragraph" w:customStyle="1" w:styleId="88">
    <w:name w:val="标题 21"/>
    <w:qFormat/>
    <w:uiPriority w:val="99"/>
    <w:pPr>
      <w:keepNext/>
      <w:keepLines/>
      <w:widowControl w:val="0"/>
      <w:spacing w:before="120" w:line="300" w:lineRule="auto"/>
      <w:jc w:val="center"/>
      <w:outlineLvl w:val="1"/>
    </w:pPr>
    <w:rPr>
      <w:rFonts w:ascii="Arial Bold" w:hAnsi="Arial Bold" w:eastAsia="ヒラギノ角ゴ Pro W3" w:cs="Arial Bold"/>
      <w:color w:val="000000"/>
      <w:sz w:val="30"/>
      <w:szCs w:val="30"/>
      <w:lang w:val="en-US" w:eastAsia="zh-CN" w:bidi="ar-SA"/>
    </w:rPr>
  </w:style>
  <w:style w:type="paragraph" w:customStyle="1" w:styleId="89">
    <w:name w:val="列出段落2"/>
    <w:basedOn w:val="1"/>
    <w:qFormat/>
    <w:uiPriority w:val="99"/>
    <w:pPr>
      <w:adjustRightInd/>
      <w:spacing w:line="240" w:lineRule="auto"/>
      <w:ind w:firstLine="420" w:firstLineChars="200"/>
      <w:jc w:val="both"/>
      <w:textAlignment w:val="auto"/>
    </w:pPr>
    <w:rPr>
      <w:kern w:val="2"/>
      <w:sz w:val="21"/>
      <w:szCs w:val="21"/>
    </w:rPr>
  </w:style>
  <w:style w:type="paragraph" w:customStyle="1" w:styleId="90">
    <w:name w:val="样式 样式 样式 样式 标题 2 + 宋体 五号 非加粗 黑色 + 段前: 6 磅 段后: 0 磅 行距: 单倍行距 + 段前:..."/>
    <w:uiPriority w:val="99"/>
    <w:pPr>
      <w:keepNext/>
      <w:keepLines/>
      <w:widowControl w:val="0"/>
      <w:spacing w:before="240"/>
      <w:outlineLvl w:val="1"/>
    </w:pPr>
    <w:rPr>
      <w:rFonts w:ascii="Lucida Grande" w:hAnsi="Lucida Grande" w:eastAsia="ヒラギノ角ゴ Pro W3" w:cs="Lucida Grande"/>
      <w:b/>
      <w:bCs/>
      <w:color w:val="000000"/>
      <w:sz w:val="21"/>
      <w:szCs w:val="21"/>
      <w:lang w:val="en-US" w:eastAsia="zh-CN" w:bidi="ar-SA"/>
    </w:rPr>
  </w:style>
  <w:style w:type="paragraph" w:customStyle="1" w:styleId="91">
    <w:name w:val="自由格式"/>
    <w:qFormat/>
    <w:uiPriority w:val="99"/>
    <w:rPr>
      <w:rFonts w:ascii="Times New Roman" w:hAnsi="Times New Roman" w:eastAsia="ヒラギノ角ゴ Pro W3" w:cs="Times New Roman"/>
      <w:color w:val="000000"/>
      <w:lang w:val="en-US" w:eastAsia="zh-CN" w:bidi="ar-SA"/>
    </w:rPr>
  </w:style>
  <w:style w:type="paragraph" w:customStyle="1" w:styleId="92">
    <w:name w:val="页脚1"/>
    <w:qFormat/>
    <w:uiPriority w:val="99"/>
    <w:pPr>
      <w:widowControl w:val="0"/>
      <w:tabs>
        <w:tab w:val="center" w:pos="4153"/>
        <w:tab w:val="right" w:pos="8306"/>
      </w:tabs>
    </w:pPr>
    <w:rPr>
      <w:rFonts w:ascii="Lucida Grande" w:hAnsi="Lucida Grande" w:eastAsia="ヒラギノ角ゴ Pro W3" w:cs="Lucida Grande"/>
      <w:color w:val="000000"/>
      <w:sz w:val="18"/>
      <w:szCs w:val="18"/>
      <w:lang w:val="en-US" w:eastAsia="zh-CN" w:bidi="ar-SA"/>
    </w:rPr>
  </w:style>
  <w:style w:type="paragraph" w:customStyle="1" w:styleId="93">
    <w:name w:val="xl25"/>
    <w:qFormat/>
    <w:uiPriority w:val="99"/>
    <w:pPr>
      <w:spacing w:before="100" w:after="100"/>
      <w:jc w:val="center"/>
    </w:pPr>
    <w:rPr>
      <w:rFonts w:ascii="Lucida Grande" w:hAnsi="Lucida Grande" w:eastAsia="ヒラギノ角ゴ Pro W3" w:cs="Lucida Grande"/>
      <w:color w:val="000000"/>
      <w:sz w:val="24"/>
      <w:szCs w:val="24"/>
      <w:lang w:val="en-US" w:eastAsia="zh-CN" w:bidi="ar-SA"/>
    </w:rPr>
  </w:style>
  <w:style w:type="paragraph" w:customStyle="1" w:styleId="94">
    <w:name w:val="样式 标题 2 + 宋体 五号 行距: 单倍行距"/>
    <w:qFormat/>
    <w:uiPriority w:val="99"/>
    <w:pPr>
      <w:keepNext/>
      <w:keepLines/>
      <w:widowControl w:val="0"/>
      <w:spacing w:before="260" w:after="260"/>
      <w:outlineLvl w:val="1"/>
    </w:pPr>
    <w:rPr>
      <w:rFonts w:ascii="Lucida Grande" w:hAnsi="Lucida Grande" w:eastAsia="ヒラギノ角ゴ Pro W3" w:cs="Lucida Grande"/>
      <w:b/>
      <w:bCs/>
      <w:color w:val="000000"/>
      <w:sz w:val="21"/>
      <w:szCs w:val="21"/>
      <w:lang w:val="en-US" w:eastAsia="zh-CN" w:bidi="ar-SA"/>
    </w:rPr>
  </w:style>
  <w:style w:type="paragraph" w:customStyle="1" w:styleId="95">
    <w:name w:val="图索引"/>
    <w:uiPriority w:val="99"/>
    <w:pPr>
      <w:widowControl w:val="0"/>
      <w:jc w:val="center"/>
    </w:pPr>
    <w:rPr>
      <w:rFonts w:ascii="Lucida Grande" w:hAnsi="Lucida Grande" w:eastAsia="ヒラギノ角ゴ Pro W3" w:cs="Lucida Grande"/>
      <w:color w:val="000000"/>
      <w:kern w:val="2"/>
      <w:sz w:val="21"/>
      <w:szCs w:val="21"/>
      <w:lang w:val="en-US" w:eastAsia="zh-CN" w:bidi="ar-SA"/>
    </w:rPr>
  </w:style>
  <w:style w:type="paragraph" w:customStyle="1" w:styleId="96">
    <w:name w:val="正文文本缩进 21"/>
    <w:qFormat/>
    <w:uiPriority w:val="99"/>
    <w:pPr>
      <w:widowControl w:val="0"/>
      <w:ind w:firstLine="480"/>
      <w:jc w:val="both"/>
    </w:pPr>
    <w:rPr>
      <w:rFonts w:ascii="Lucida Grande" w:hAnsi="Lucida Grande" w:eastAsia="ヒラギノ角ゴ Pro W3" w:cs="Lucida Grande"/>
      <w:color w:val="000000"/>
      <w:kern w:val="2"/>
      <w:sz w:val="24"/>
      <w:szCs w:val="24"/>
      <w:lang w:val="en-US" w:eastAsia="zh-CN" w:bidi="ar-SA"/>
    </w:rPr>
  </w:style>
  <w:style w:type="paragraph" w:customStyle="1" w:styleId="97">
    <w:name w:val="Char Char Char Char Char Char Char Char Char Char Char Char Char"/>
    <w:basedOn w:val="1"/>
    <w:qFormat/>
    <w:uiPriority w:val="99"/>
    <w:pPr>
      <w:widowControl/>
      <w:adjustRightInd/>
      <w:spacing w:after="160" w:line="240" w:lineRule="exact"/>
      <w:jc w:val="center"/>
      <w:textAlignment w:val="auto"/>
    </w:pPr>
    <w:rPr>
      <w:rFonts w:ascii="宋体" w:hAnsi="宋体" w:cs="宋体"/>
      <w:b/>
      <w:bCs/>
      <w:sz w:val="30"/>
      <w:szCs w:val="30"/>
      <w:lang w:eastAsia="en-US"/>
    </w:rPr>
  </w:style>
  <w:style w:type="paragraph" w:customStyle="1" w:styleId="98">
    <w:name w:val="正文 A"/>
    <w:qFormat/>
    <w:uiPriority w:val="99"/>
    <w:pPr>
      <w:widowControl w:val="0"/>
      <w:jc w:val="both"/>
    </w:pPr>
    <w:rPr>
      <w:rFonts w:ascii="Times New Roman" w:hAnsi="Times New Roman" w:eastAsia="ヒラギノ角ゴ Pro W3" w:cs="Times New Roman"/>
      <w:color w:val="000000"/>
      <w:kern w:val="2"/>
      <w:sz w:val="21"/>
      <w:szCs w:val="21"/>
      <w:lang w:val="en-US" w:eastAsia="zh-CN" w:bidi="ar-SA"/>
    </w:rPr>
  </w:style>
  <w:style w:type="paragraph" w:customStyle="1" w:styleId="99">
    <w:name w:val="TOC 标题1"/>
    <w:basedOn w:val="2"/>
    <w:next w:val="1"/>
    <w:qFormat/>
    <w:uiPriority w:val="99"/>
    <w:pPr>
      <w:widowControl/>
      <w:numPr>
        <w:numId w:val="0"/>
      </w:numPr>
      <w:autoSpaceDE w:val="0"/>
      <w:autoSpaceDN w:val="0"/>
      <w:adjustRightInd/>
      <w:spacing w:before="480" w:after="0" w:line="276" w:lineRule="auto"/>
      <w:textAlignment w:val="auto"/>
      <w:outlineLvl w:val="9"/>
    </w:pPr>
    <w:rPr>
      <w:rFonts w:ascii="Cambria" w:hAnsi="Cambria" w:cs="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53</Pages>
  <Words>4891</Words>
  <Characters>27881</Characters>
  <Lines>232</Lines>
  <Paragraphs>65</Paragraphs>
  <TotalTime>27</TotalTime>
  <ScaleCrop>false</ScaleCrop>
  <LinksUpToDate>false</LinksUpToDate>
  <CharactersWithSpaces>32707</CharactersWithSpaces>
  <Application>WPS Office_10.8.2.6543_F1E327BC-269C-435d-A152-05C5408002CA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2019-03-20T14:04:00Z</dcterms:created>
  <dc:creator>wangjia</dc:creator>
  <cp:lastModifiedBy>lenovo</cp:lastModifiedBy>
  <cp:lastPrinted>2019-03-26T02:49:00Z</cp:lastPrinted>
  <dcterms:modified xsi:type="dcterms:W3CDTF">2019-04-23T06:58:49Z</dcterms:modified>
  <dc:title>招标文件(甘肃警察职业学院信息化运维外包)</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2052-10.8.2.6543</vt:lpwstr>
  </property>
</Properties>
</file>